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62EB730E">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tcPr>
          <w:p w14:paraId="15BDDA14" w14:textId="09D8DA50"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p>
        </w:tc>
      </w:tr>
      <w:tr w:rsidR="00CE544A" w:rsidRPr="003E4C33" w14:paraId="33BEC222" w14:textId="77777777" w:rsidTr="62EB730E">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tcPr>
          <w:p w14:paraId="24B44B70" w14:textId="6ECCC64A" w:rsidR="00F445B1" w:rsidRPr="00C55247" w:rsidRDefault="5444A49D" w:rsidP="007B5CA2">
            <w:pPr>
              <w:rPr>
                <w:rFonts w:cs="Arial"/>
                <w:b/>
                <w:bCs/>
                <w:color w:val="auto"/>
              </w:rPr>
            </w:pPr>
            <w:r w:rsidRPr="62EB730E">
              <w:rPr>
                <w:rStyle w:val="Firstpagetablebold"/>
                <w:b w:val="0"/>
              </w:rPr>
              <w:t>8</w:t>
            </w:r>
            <w:r w:rsidRPr="62EB730E">
              <w:rPr>
                <w:rStyle w:val="Firstpagetablebold"/>
                <w:b w:val="0"/>
                <w:vertAlign w:val="superscript"/>
              </w:rPr>
              <w:t>th</w:t>
            </w:r>
            <w:r w:rsidRPr="62EB730E">
              <w:rPr>
                <w:rStyle w:val="Firstpagetablebold"/>
                <w:b w:val="0"/>
              </w:rPr>
              <w:t xml:space="preserve"> </w:t>
            </w:r>
            <w:r w:rsidR="00F53733" w:rsidRPr="62EB730E">
              <w:rPr>
                <w:rStyle w:val="Firstpagetablebold"/>
                <w:b w:val="0"/>
              </w:rPr>
              <w:t>December 2025</w:t>
            </w:r>
          </w:p>
        </w:tc>
      </w:tr>
      <w:tr w:rsidR="00CE544A" w:rsidRPr="003E4C33" w14:paraId="4976D647" w14:textId="77777777" w:rsidTr="62EB730E">
        <w:tc>
          <w:tcPr>
            <w:tcW w:w="2438" w:type="dxa"/>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tcPr>
          <w:p w14:paraId="4CADFAAE" w14:textId="307FD8F0" w:rsidR="00F445B1" w:rsidRPr="00C55247" w:rsidRDefault="00733127" w:rsidP="2BB29E7E">
            <w:pPr>
              <w:rPr>
                <w:rStyle w:val="Firstpagetablebold"/>
                <w:rFonts w:cs="Arial"/>
                <w:b w:val="0"/>
                <w:color w:val="auto"/>
              </w:rPr>
            </w:pPr>
            <w:r>
              <w:rPr>
                <w:rFonts w:cs="Arial"/>
              </w:rPr>
              <w:t>Nerys Parry – Director of Housing Services</w:t>
            </w:r>
          </w:p>
        </w:tc>
      </w:tr>
      <w:tr w:rsidR="00CE544A" w:rsidRPr="003E4C33" w14:paraId="1CE13DCA" w14:textId="77777777" w:rsidTr="62EB730E">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tcPr>
          <w:p w14:paraId="04146131" w14:textId="748B122F" w:rsidR="00F445B1" w:rsidRPr="00C55247" w:rsidRDefault="009E646F" w:rsidP="6705CB2F">
            <w:pPr>
              <w:rPr>
                <w:rStyle w:val="Firstpagetablebold"/>
                <w:rFonts w:cs="Arial"/>
                <w:b w:val="0"/>
                <w:color w:val="auto"/>
              </w:rPr>
            </w:pPr>
            <w:r>
              <w:rPr>
                <w:rFonts w:cs="Arial"/>
              </w:rPr>
              <w:t xml:space="preserve">Approval of </w:t>
            </w:r>
            <w:r w:rsidR="00C00E03">
              <w:rPr>
                <w:rFonts w:cs="Arial"/>
              </w:rPr>
              <w:t>N</w:t>
            </w:r>
            <w:r>
              <w:rPr>
                <w:rFonts w:cs="Arial"/>
              </w:rPr>
              <w:t xml:space="preserve">ational </w:t>
            </w:r>
            <w:r w:rsidR="00C00E03">
              <w:rPr>
                <w:rFonts w:cs="Arial"/>
              </w:rPr>
              <w:t>H</w:t>
            </w:r>
            <w:r>
              <w:rPr>
                <w:rFonts w:cs="Arial"/>
              </w:rPr>
              <w:t xml:space="preserve">omelessness </w:t>
            </w:r>
            <w:r w:rsidR="00190ECD">
              <w:rPr>
                <w:rFonts w:cs="Arial"/>
              </w:rPr>
              <w:t>P</w:t>
            </w:r>
            <w:r>
              <w:rPr>
                <w:rFonts w:cs="Arial"/>
              </w:rPr>
              <w:t xml:space="preserve">roperty </w:t>
            </w:r>
            <w:r w:rsidR="00190ECD">
              <w:rPr>
                <w:rFonts w:cs="Arial"/>
              </w:rPr>
              <w:t>F</w:t>
            </w:r>
            <w:r>
              <w:rPr>
                <w:rFonts w:cs="Arial"/>
              </w:rPr>
              <w:t>und 1 resolution</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72E1D1C9">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72E1D1C9">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52F8856A" w:rsidR="00D5547E" w:rsidRPr="00C55247" w:rsidRDefault="009E646F" w:rsidP="2BB29E7E">
            <w:pPr>
              <w:rPr>
                <w:rFonts w:cs="Arial"/>
                <w:color w:val="auto"/>
              </w:rPr>
            </w:pPr>
            <w:r>
              <w:rPr>
                <w:rFonts w:cs="Arial"/>
              </w:rPr>
              <w:t xml:space="preserve">Approval of </w:t>
            </w:r>
            <w:r w:rsidR="007F5C86">
              <w:rPr>
                <w:rFonts w:cs="Arial"/>
              </w:rPr>
              <w:t>N</w:t>
            </w:r>
            <w:r>
              <w:rPr>
                <w:rFonts w:cs="Arial"/>
              </w:rPr>
              <w:t xml:space="preserve">ational </w:t>
            </w:r>
            <w:r w:rsidR="007F5C86">
              <w:rPr>
                <w:rFonts w:cs="Arial"/>
              </w:rPr>
              <w:t>H</w:t>
            </w:r>
            <w:r>
              <w:rPr>
                <w:rFonts w:cs="Arial"/>
              </w:rPr>
              <w:t xml:space="preserve">omelessness </w:t>
            </w:r>
            <w:r w:rsidR="007F5C86">
              <w:rPr>
                <w:rFonts w:cs="Arial"/>
              </w:rPr>
              <w:t>P</w:t>
            </w:r>
            <w:r>
              <w:rPr>
                <w:rFonts w:cs="Arial"/>
              </w:rPr>
              <w:t xml:space="preserve">roperty </w:t>
            </w:r>
            <w:r w:rsidR="007F5C86">
              <w:rPr>
                <w:rFonts w:cs="Arial"/>
              </w:rPr>
              <w:t>F</w:t>
            </w:r>
            <w:r>
              <w:rPr>
                <w:rFonts w:cs="Arial"/>
              </w:rPr>
              <w:t>und 1 resolution</w:t>
            </w:r>
          </w:p>
        </w:tc>
      </w:tr>
      <w:tr w:rsidR="00D5547E" w:rsidRPr="003E4C33" w14:paraId="14C2CC29" w14:textId="77777777" w:rsidTr="72E1D1C9">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96359BB">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1DDC0B8D" w:rsidR="00D5547E" w:rsidRPr="00C55247" w:rsidRDefault="2AEC35A9" w:rsidP="2BB29E7E">
            <w:pPr>
              <w:rPr>
                <w:rFonts w:cs="Arial"/>
                <w:color w:val="auto"/>
              </w:rPr>
            </w:pPr>
            <w:r w:rsidRPr="72E1D1C9">
              <w:rPr>
                <w:rFonts w:cs="Arial"/>
                <w:color w:val="auto"/>
              </w:rPr>
              <w:t>Yes</w:t>
            </w:r>
          </w:p>
        </w:tc>
      </w:tr>
      <w:tr w:rsidR="006B2DE1" w:rsidRPr="003E4C33" w14:paraId="631D49A6" w14:textId="77777777" w:rsidTr="72E1D1C9">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24C2E022" w14:textId="11BC47DB" w:rsidR="006B2DE1" w:rsidRPr="0049044C" w:rsidRDefault="0049044C" w:rsidP="003E4C33">
            <w:pPr>
              <w:rPr>
                <w:rFonts w:cs="Arial"/>
                <w:b/>
                <w:bCs/>
                <w:color w:val="auto"/>
              </w:rPr>
            </w:pPr>
            <w:hyperlink r:id="rId11">
              <w:r w:rsidRPr="72E1D1C9">
                <w:rPr>
                  <w:rStyle w:val="Hyperlink"/>
                  <w:rFonts w:cs="Arial"/>
                </w:rPr>
                <w:t>Cabinet 9</w:t>
              </w:r>
              <w:r w:rsidRPr="72E1D1C9">
                <w:rPr>
                  <w:rStyle w:val="Hyperlink"/>
                  <w:rFonts w:cs="Arial"/>
                  <w:vertAlign w:val="superscript"/>
                </w:rPr>
                <w:t>th</w:t>
              </w:r>
              <w:r w:rsidRPr="72E1D1C9">
                <w:rPr>
                  <w:rStyle w:val="Hyperlink"/>
                  <w:rFonts w:cs="Arial"/>
                </w:rPr>
                <w:t xml:space="preserve"> July 2025 – Report: National Homelessness Property Fund 1</w:t>
              </w:r>
            </w:hyperlink>
          </w:p>
        </w:tc>
      </w:tr>
      <w:tr w:rsidR="00E508A1" w:rsidRPr="003E4C33" w14:paraId="271E719F" w14:textId="77777777" w:rsidTr="72E1D1C9">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2F014899" w:rsidR="00E508A1" w:rsidRPr="00C55247" w:rsidRDefault="00006A65" w:rsidP="00E508A1">
            <w:pPr>
              <w:rPr>
                <w:rFonts w:cs="Arial"/>
                <w:color w:val="auto"/>
              </w:rPr>
            </w:pPr>
            <w:r w:rsidRPr="00006A65">
              <w:rPr>
                <w:color w:val="auto"/>
              </w:rPr>
              <w:t>Councillor Linda Smith, Cabinet Member for Housing and Communities</w:t>
            </w:r>
          </w:p>
        </w:tc>
      </w:tr>
      <w:tr w:rsidR="00E508A1" w:rsidRPr="003E4C33" w14:paraId="7239C84D" w14:textId="77777777" w:rsidTr="72E1D1C9">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5812C728" w:rsidR="00E508A1" w:rsidRPr="00C55247" w:rsidRDefault="004A0B1C" w:rsidP="00E508A1">
            <w:pPr>
              <w:rPr>
                <w:rFonts w:cs="Arial"/>
                <w:color w:val="auto"/>
              </w:rPr>
            </w:pPr>
            <w:r w:rsidRPr="004A0B1C">
              <w:rPr>
                <w:rFonts w:cs="Arial"/>
                <w:color w:val="auto"/>
              </w:rPr>
              <w:t>Good, Affordable Homes</w:t>
            </w:r>
          </w:p>
        </w:tc>
      </w:tr>
      <w:tr w:rsidR="00E508A1" w:rsidRPr="003E4C33" w14:paraId="7C13F173" w14:textId="77777777" w:rsidTr="72E1D1C9">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1712A3FC" w:rsidR="00E508A1" w:rsidRPr="00C55247" w:rsidRDefault="007F5C86" w:rsidP="00E508A1">
            <w:pPr>
              <w:rPr>
                <w:rFonts w:cs="Arial"/>
                <w:color w:val="auto"/>
              </w:rPr>
            </w:pPr>
            <w:r w:rsidRPr="007F5C86">
              <w:rPr>
                <w:rFonts w:cs="Arial"/>
                <w:color w:val="auto"/>
              </w:rPr>
              <w:t>Housing, Homelessness and Rough Sleeping Strategy 2023-2028</w:t>
            </w:r>
          </w:p>
        </w:tc>
      </w:tr>
    </w:tbl>
    <w:p w14:paraId="759F4236" w14:textId="77777777" w:rsidR="00CE544A" w:rsidRDefault="00CE544A"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26"/>
        <w:gridCol w:w="8419"/>
      </w:tblGrid>
      <w:tr w:rsidR="00340B77" w:rsidRPr="00975B07" w14:paraId="6AB9E16B" w14:textId="77777777" w:rsidTr="62EB730E">
        <w:trPr>
          <w:trHeight w:val="413"/>
        </w:trPr>
        <w:tc>
          <w:tcPr>
            <w:tcW w:w="8845" w:type="dxa"/>
            <w:gridSpan w:val="2"/>
            <w:tcBorders>
              <w:bottom w:val="single" w:sz="8" w:space="0" w:color="000000" w:themeColor="text1"/>
            </w:tcBorders>
          </w:tcPr>
          <w:p w14:paraId="39BB8A6A" w14:textId="22D46641" w:rsidR="00340B77" w:rsidRPr="00975B07" w:rsidRDefault="00635E3E" w:rsidP="00074EA2">
            <w:r>
              <w:t xml:space="preserve">The </w:t>
            </w:r>
            <w:r w:rsidR="007F5C86">
              <w:t>Director of Housing Services</w:t>
            </w:r>
            <w:r>
              <w:t xml:space="preserve"> decides as follows: </w:t>
            </w:r>
          </w:p>
        </w:tc>
      </w:tr>
      <w:tr w:rsidR="00340B77" w:rsidRPr="00975B07" w14:paraId="1817F3CE" w14:textId="77777777" w:rsidTr="62EB730E">
        <w:trPr>
          <w:trHeight w:val="283"/>
        </w:trPr>
        <w:tc>
          <w:tcPr>
            <w:tcW w:w="426" w:type="dxa"/>
            <w:tcBorders>
              <w:top w:val="single" w:sz="8" w:space="0" w:color="000000" w:themeColor="text1"/>
              <w:left w:val="single" w:sz="8" w:space="0" w:color="000000" w:themeColor="text1"/>
              <w:bottom w:val="nil"/>
              <w:right w:val="nil"/>
            </w:tcBorders>
          </w:tcPr>
          <w:p w14:paraId="1CE45E9C" w14:textId="3DBF8459" w:rsidR="00340B77" w:rsidRPr="00975B07" w:rsidRDefault="56D387D0" w:rsidP="00074EA2">
            <w:r>
              <w:t>1.</w:t>
            </w:r>
          </w:p>
          <w:p w14:paraId="654543C1" w14:textId="3A1301A2" w:rsidR="00340B77" w:rsidRPr="00975B07" w:rsidRDefault="00340B77" w:rsidP="00074EA2"/>
          <w:p w14:paraId="4BE8D1BB" w14:textId="4CDB4F2B" w:rsidR="00340B77" w:rsidRPr="00975B07" w:rsidRDefault="00340B77" w:rsidP="00074EA2"/>
          <w:p w14:paraId="7809A8B3" w14:textId="37AAC34C" w:rsidR="00340B77" w:rsidRPr="00975B07" w:rsidRDefault="7A3B42E9" w:rsidP="00074EA2">
            <w:r>
              <w:t>2.</w:t>
            </w:r>
          </w:p>
        </w:tc>
        <w:tc>
          <w:tcPr>
            <w:tcW w:w="8419" w:type="dxa"/>
            <w:tcBorders>
              <w:top w:val="single" w:sz="8" w:space="0" w:color="000000" w:themeColor="text1"/>
              <w:left w:val="nil"/>
              <w:bottom w:val="nil"/>
              <w:right w:val="single" w:sz="8" w:space="0" w:color="000000" w:themeColor="text1"/>
            </w:tcBorders>
          </w:tcPr>
          <w:p w14:paraId="42954EC6" w14:textId="50261BAD" w:rsidR="00340B77" w:rsidRPr="001356F1" w:rsidRDefault="0569B90D" w:rsidP="00074EA2">
            <w:r>
              <w:t xml:space="preserve">To approve the </w:t>
            </w:r>
            <w:r w:rsidR="059D13CC">
              <w:t>N</w:t>
            </w:r>
            <w:r>
              <w:t xml:space="preserve">ational Homelessness Property Fund 1 </w:t>
            </w:r>
            <w:r w:rsidR="059D13CC">
              <w:t>resolution</w:t>
            </w:r>
            <w:r>
              <w:t xml:space="preserve">, </w:t>
            </w:r>
            <w:r w:rsidR="33DD4661">
              <w:t xml:space="preserve">confirming </w:t>
            </w:r>
            <w:r>
              <w:t xml:space="preserve">the extension of the fund to </w:t>
            </w:r>
            <w:r w:rsidR="564CABBD">
              <w:t>30</w:t>
            </w:r>
            <w:r w:rsidR="564CABBD" w:rsidRPr="62EB730E">
              <w:rPr>
                <w:vertAlign w:val="superscript"/>
              </w:rPr>
              <w:t>th</w:t>
            </w:r>
            <w:r w:rsidR="564CABBD">
              <w:t xml:space="preserve"> of April 202</w:t>
            </w:r>
            <w:r w:rsidR="1A8571CF">
              <w:t>6</w:t>
            </w:r>
            <w:r w:rsidR="2DF30763">
              <w:t xml:space="preserve"> to be signed by </w:t>
            </w:r>
            <w:r w:rsidR="34640FC6">
              <w:t>the Director of Housing Services</w:t>
            </w:r>
            <w:r w:rsidR="2DF30763">
              <w:t xml:space="preserve"> on behalf of the Council as a limited partner of the </w:t>
            </w:r>
            <w:proofErr w:type="gramStart"/>
            <w:r w:rsidR="2DF30763">
              <w:t>Fund</w:t>
            </w:r>
            <w:r w:rsidR="0271E115">
              <w:t>;</w:t>
            </w:r>
            <w:proofErr w:type="gramEnd"/>
            <w:r w:rsidR="0271E115">
              <w:t xml:space="preserve"> </w:t>
            </w:r>
          </w:p>
          <w:p w14:paraId="2599CB46" w14:textId="368A1716" w:rsidR="00340B77" w:rsidRPr="001356F1" w:rsidRDefault="5DF1A9F8" w:rsidP="62EB730E">
            <w:r>
              <w:t>To authorise the entering in to of any required agreements on behalf of the Council required to give effect to the resolution</w:t>
            </w:r>
            <w:r w:rsidR="50563BD6">
              <w:t xml:space="preserve">, subject to legal review. </w:t>
            </w:r>
          </w:p>
        </w:tc>
      </w:tr>
      <w:tr w:rsidR="00340B77" w:rsidRPr="00975B07" w14:paraId="0BA55342" w14:textId="77777777" w:rsidTr="001408A2">
        <w:trPr>
          <w:trHeight w:val="300"/>
        </w:trPr>
        <w:tc>
          <w:tcPr>
            <w:tcW w:w="426" w:type="dxa"/>
            <w:tcBorders>
              <w:top w:val="nil"/>
              <w:left w:val="single" w:sz="8" w:space="0" w:color="000000" w:themeColor="text1"/>
              <w:bottom w:val="single" w:sz="8" w:space="0" w:color="000000" w:themeColor="text1"/>
              <w:right w:val="nil"/>
            </w:tcBorders>
          </w:tcPr>
          <w:p w14:paraId="36306625" w14:textId="78BF293E" w:rsidR="00340B77" w:rsidRPr="00975B07" w:rsidRDefault="00340B77" w:rsidP="00074EA2"/>
        </w:tc>
        <w:tc>
          <w:tcPr>
            <w:tcW w:w="8419" w:type="dxa"/>
            <w:tcBorders>
              <w:top w:val="nil"/>
              <w:left w:val="nil"/>
              <w:bottom w:val="single" w:sz="8" w:space="0" w:color="000000" w:themeColor="text1"/>
              <w:right w:val="single" w:sz="8" w:space="0" w:color="000000" w:themeColor="text1"/>
            </w:tcBorders>
          </w:tcPr>
          <w:p w14:paraId="79CB69C3" w14:textId="663F52F1" w:rsidR="00340B77" w:rsidRPr="001356F1" w:rsidRDefault="00340B77" w:rsidP="00074EA2"/>
        </w:tc>
      </w:tr>
    </w:tbl>
    <w:p w14:paraId="20640FB6" w14:textId="77777777" w:rsidR="00340B77" w:rsidRPr="003E4C33" w:rsidRDefault="00340B77" w:rsidP="004A6D2F">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72E1D1C9">
        <w:trPr>
          <w:trHeight w:val="300"/>
        </w:trPr>
        <w:tc>
          <w:tcPr>
            <w:tcW w:w="1912" w:type="dxa"/>
            <w:tcBorders>
              <w:bottom w:val="single" w:sz="4" w:space="0" w:color="auto"/>
            </w:tcBorders>
          </w:tcPr>
          <w:p w14:paraId="074FB3AC" w14:textId="4B24A879" w:rsidR="004A39C3" w:rsidRPr="003E4C33" w:rsidRDefault="004A39C3" w:rsidP="00074EA2">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074EA2">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074EA2">
            <w:pPr>
              <w:jc w:val="center"/>
              <w:rPr>
                <w:rStyle w:val="Firstpagetablebold"/>
                <w:rFonts w:cs="Arial"/>
              </w:rPr>
            </w:pPr>
            <w:r>
              <w:rPr>
                <w:rStyle w:val="Firstpagetablebold"/>
                <w:rFonts w:cs="Arial"/>
              </w:rPr>
              <w:t>Exempt from Publication</w:t>
            </w:r>
          </w:p>
        </w:tc>
      </w:tr>
      <w:tr w:rsidR="006E1FA1" w:rsidRPr="003E4C33" w14:paraId="65A82881" w14:textId="77777777" w:rsidTr="72E1D1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074EA2">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3F5596D1" w:rsidR="006E1FA1" w:rsidRPr="00C55247" w:rsidRDefault="00C00E03" w:rsidP="00AE262E">
            <w:pPr>
              <w:rPr>
                <w:rFonts w:cs="Arial"/>
                <w:color w:val="auto"/>
              </w:rPr>
            </w:pPr>
            <w:r w:rsidRPr="72E1D1C9">
              <w:rPr>
                <w:rFonts w:cs="Arial"/>
                <w:color w:val="auto"/>
              </w:rPr>
              <w:t xml:space="preserve">NHPF1 </w:t>
            </w:r>
            <w:r w:rsidR="2D3D1D28" w:rsidRPr="72E1D1C9">
              <w:rPr>
                <w:rFonts w:cs="Arial"/>
                <w:color w:val="auto"/>
              </w:rPr>
              <w:t>Resolution</w:t>
            </w:r>
          </w:p>
        </w:tc>
        <w:tc>
          <w:tcPr>
            <w:tcW w:w="4455" w:type="dxa"/>
            <w:tcBorders>
              <w:top w:val="single" w:sz="4" w:space="0" w:color="auto"/>
              <w:left w:val="single" w:sz="4" w:space="0" w:color="auto"/>
              <w:bottom w:val="single" w:sz="4" w:space="0" w:color="auto"/>
              <w:right w:val="single" w:sz="4" w:space="0" w:color="auto"/>
            </w:tcBorders>
          </w:tcPr>
          <w:p w14:paraId="2B561EF1" w14:textId="27801848" w:rsidR="006E1FA1" w:rsidRPr="00C55247" w:rsidRDefault="1863BCBF" w:rsidP="72E1D1C9">
            <w:pPr>
              <w:ind w:left="426" w:hanging="426"/>
              <w:rPr>
                <w:rFonts w:cs="Arial"/>
                <w:color w:val="auto"/>
              </w:rPr>
            </w:pPr>
            <w:r w:rsidRPr="72E1D1C9">
              <w:rPr>
                <w:rFonts w:cs="Arial"/>
                <w:color w:val="auto"/>
              </w:rPr>
              <w:t>No</w:t>
            </w:r>
          </w:p>
          <w:p w14:paraId="26CB7083" w14:textId="18DBE48E" w:rsidR="004A39C3" w:rsidRPr="00B83DEA" w:rsidRDefault="004A39C3" w:rsidP="00B83DEA">
            <w:pPr>
              <w:ind w:left="426" w:hanging="426"/>
              <w:rPr>
                <w:rFonts w:cs="Arial"/>
                <w:color w:val="auto"/>
              </w:rPr>
            </w:pPr>
          </w:p>
        </w:tc>
      </w:tr>
      <w:tr w:rsidR="006E1FA1" w:rsidRPr="003E4C33" w14:paraId="3B1E005F" w14:textId="77777777" w:rsidTr="72E1D1C9">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327FA8BD" w14:textId="0509B14F" w:rsidR="006E1FA1" w:rsidRPr="00C55247" w:rsidRDefault="2D14CE75" w:rsidP="0BC4DFF5">
            <w:pPr>
              <w:rPr>
                <w:rFonts w:cs="Arial"/>
                <w:color w:val="auto"/>
              </w:rPr>
            </w:pPr>
            <w:r w:rsidRPr="72E1D1C9">
              <w:rPr>
                <w:rFonts w:cs="Arial"/>
                <w:color w:val="auto"/>
              </w:rPr>
              <w:t>Email to the Chair of the Scrutiny Committee</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7F441DE2" w:rsidR="006E1FA1" w:rsidRPr="00C55247" w:rsidRDefault="32B4897A" w:rsidP="004A39C3">
            <w:pPr>
              <w:rPr>
                <w:rFonts w:cs="Arial"/>
                <w:color w:val="auto"/>
              </w:rPr>
            </w:pPr>
            <w:r w:rsidRPr="72E1D1C9">
              <w:rPr>
                <w:rFonts w:cs="Arial"/>
                <w:color w:val="auto"/>
              </w:rPr>
              <w:t>No</w:t>
            </w:r>
          </w:p>
        </w:tc>
      </w:tr>
    </w:tbl>
    <w:p w14:paraId="464A13D2" w14:textId="13B0F249" w:rsidR="0040736F" w:rsidRPr="003E4C33" w:rsidRDefault="00F66DCA" w:rsidP="72E1D1C9">
      <w:pPr>
        <w:pStyle w:val="Heading1"/>
        <w:spacing w:line="259" w:lineRule="auto"/>
        <w:rPr>
          <w:rFonts w:cs="Arial"/>
        </w:rPr>
      </w:pPr>
      <w:r w:rsidRPr="72E1D1C9">
        <w:rPr>
          <w:rFonts w:cs="Arial"/>
        </w:rPr>
        <w:t>Introduction and b</w:t>
      </w:r>
      <w:r w:rsidR="00151888" w:rsidRPr="72E1D1C9">
        <w:rPr>
          <w:rFonts w:cs="Arial"/>
        </w:rPr>
        <w:t>ackground</w:t>
      </w:r>
      <w:r w:rsidR="00404032" w:rsidRPr="72E1D1C9">
        <w:rPr>
          <w:rFonts w:cs="Arial"/>
        </w:rPr>
        <w:t xml:space="preserve"> </w:t>
      </w:r>
    </w:p>
    <w:p w14:paraId="3A24C97A" w14:textId="620974DC" w:rsidR="006C7D2E" w:rsidRDefault="00613072" w:rsidP="1393A8AE">
      <w:pPr>
        <w:pStyle w:val="ListParagraph"/>
        <w:rPr>
          <w:rFonts w:cs="Arial"/>
          <w:color w:val="auto"/>
        </w:rPr>
      </w:pPr>
      <w:r w:rsidRPr="72E1D1C9">
        <w:rPr>
          <w:rFonts w:cs="Arial"/>
          <w:color w:val="auto"/>
        </w:rPr>
        <w:lastRenderedPageBreak/>
        <w:t xml:space="preserve">In July 2025 Cabinet </w:t>
      </w:r>
      <w:r w:rsidR="005D347D" w:rsidRPr="72E1D1C9">
        <w:rPr>
          <w:rFonts w:cs="Arial"/>
          <w:color w:val="auto"/>
        </w:rPr>
        <w:t>approved</w:t>
      </w:r>
      <w:r w:rsidRPr="72E1D1C9">
        <w:rPr>
          <w:rFonts w:cs="Arial"/>
          <w:color w:val="auto"/>
        </w:rPr>
        <w:t xml:space="preserve"> </w:t>
      </w:r>
      <w:r w:rsidR="008914F0" w:rsidRPr="72E1D1C9">
        <w:rPr>
          <w:rFonts w:cs="Arial"/>
          <w:color w:val="auto"/>
        </w:rPr>
        <w:t xml:space="preserve">the </w:t>
      </w:r>
      <w:r w:rsidR="007F7BC4" w:rsidRPr="72E1D1C9">
        <w:rPr>
          <w:rFonts w:cs="Arial"/>
          <w:color w:val="auto"/>
        </w:rPr>
        <w:t xml:space="preserve">moving </w:t>
      </w:r>
      <w:r w:rsidRPr="72E1D1C9">
        <w:rPr>
          <w:rFonts w:cs="Arial"/>
          <w:color w:val="auto"/>
        </w:rPr>
        <w:t>of th</w:t>
      </w:r>
      <w:r w:rsidR="005D347D" w:rsidRPr="72E1D1C9">
        <w:rPr>
          <w:rFonts w:cs="Arial"/>
          <w:color w:val="auto"/>
        </w:rPr>
        <w:t>e</w:t>
      </w:r>
      <w:r w:rsidRPr="72E1D1C9">
        <w:rPr>
          <w:rFonts w:cs="Arial"/>
          <w:color w:val="auto"/>
        </w:rPr>
        <w:t xml:space="preserve"> Council</w:t>
      </w:r>
      <w:r w:rsidR="008914F0" w:rsidRPr="72E1D1C9">
        <w:rPr>
          <w:rFonts w:cs="Arial"/>
          <w:color w:val="auto"/>
        </w:rPr>
        <w:t>’</w:t>
      </w:r>
      <w:r w:rsidRPr="72E1D1C9">
        <w:rPr>
          <w:rFonts w:cs="Arial"/>
          <w:color w:val="auto"/>
        </w:rPr>
        <w:t>s investment</w:t>
      </w:r>
      <w:r w:rsidR="005D347D" w:rsidRPr="72E1D1C9">
        <w:rPr>
          <w:rFonts w:cs="Arial"/>
          <w:color w:val="auto"/>
        </w:rPr>
        <w:t xml:space="preserve"> of £10m in </w:t>
      </w:r>
      <w:r w:rsidR="00C00E03" w:rsidRPr="72E1D1C9">
        <w:rPr>
          <w:rFonts w:cs="Arial"/>
          <w:color w:val="auto"/>
        </w:rPr>
        <w:t>National</w:t>
      </w:r>
      <w:r w:rsidR="005D347D" w:rsidRPr="72E1D1C9">
        <w:rPr>
          <w:rFonts w:cs="Arial"/>
          <w:color w:val="auto"/>
        </w:rPr>
        <w:t xml:space="preserve"> Homelessness Property Fund 1 (HNPF1)</w:t>
      </w:r>
      <w:r w:rsidR="007F7BC4" w:rsidRPr="72E1D1C9">
        <w:rPr>
          <w:rFonts w:cs="Arial"/>
          <w:color w:val="auto"/>
        </w:rPr>
        <w:t xml:space="preserve"> which was due to expire, into a new “evergreen” property fund, and gave </w:t>
      </w:r>
      <w:r w:rsidR="00C00E03" w:rsidRPr="72E1D1C9">
        <w:rPr>
          <w:rFonts w:cs="Arial"/>
          <w:color w:val="auto"/>
        </w:rPr>
        <w:t xml:space="preserve">necessary </w:t>
      </w:r>
      <w:r w:rsidR="007F7BC4" w:rsidRPr="72E1D1C9">
        <w:rPr>
          <w:rFonts w:cs="Arial"/>
          <w:color w:val="auto"/>
        </w:rPr>
        <w:t>delegat</w:t>
      </w:r>
      <w:r w:rsidR="00C00E03" w:rsidRPr="72E1D1C9">
        <w:rPr>
          <w:rFonts w:cs="Arial"/>
          <w:color w:val="auto"/>
        </w:rPr>
        <w:t>ions</w:t>
      </w:r>
      <w:r w:rsidR="007F7BC4" w:rsidRPr="72E1D1C9">
        <w:rPr>
          <w:rFonts w:cs="Arial"/>
          <w:color w:val="auto"/>
        </w:rPr>
        <w:t xml:space="preserve"> to the Director of </w:t>
      </w:r>
      <w:r w:rsidR="00C00E03" w:rsidRPr="72E1D1C9">
        <w:rPr>
          <w:rFonts w:cs="Arial"/>
          <w:color w:val="auto"/>
        </w:rPr>
        <w:t>Housing</w:t>
      </w:r>
      <w:r w:rsidR="007F7BC4" w:rsidRPr="72E1D1C9">
        <w:rPr>
          <w:rFonts w:cs="Arial"/>
          <w:color w:val="auto"/>
        </w:rPr>
        <w:t xml:space="preserve"> to enable this reinvestment.</w:t>
      </w:r>
      <w:r w:rsidR="17BCB820" w:rsidRPr="72E1D1C9">
        <w:rPr>
          <w:rFonts w:cs="Arial"/>
          <w:color w:val="auto"/>
        </w:rPr>
        <w:t xml:space="preserve"> </w:t>
      </w:r>
    </w:p>
    <w:p w14:paraId="5DFB232E" w14:textId="3D1E082F" w:rsidR="17BCB820" w:rsidRDefault="17BCB820" w:rsidP="1393A8AE">
      <w:pPr>
        <w:pStyle w:val="ListParagraph"/>
        <w:rPr>
          <w:rFonts w:cs="Arial"/>
          <w:color w:val="auto"/>
        </w:rPr>
      </w:pPr>
      <w:r w:rsidRPr="72E1D1C9">
        <w:rPr>
          <w:rFonts w:cs="Arial"/>
          <w:color w:val="auto"/>
        </w:rPr>
        <w:t xml:space="preserve">The delegation granted is as follows: </w:t>
      </w:r>
    </w:p>
    <w:p w14:paraId="509D30CA" w14:textId="3548BA26" w:rsidR="17BCB820" w:rsidRDefault="17BCB820" w:rsidP="72E1D1C9">
      <w:pPr>
        <w:pStyle w:val="ListParagraph"/>
        <w:numPr>
          <w:ilvl w:val="0"/>
          <w:numId w:val="0"/>
        </w:numPr>
        <w:ind w:left="360"/>
        <w:rPr>
          <w:rFonts w:ascii="Helvetica" w:eastAsia="Helvetica" w:hAnsi="Helvetica" w:cs="Helvetica"/>
          <w:color w:val="37474F"/>
        </w:rPr>
      </w:pPr>
      <w:r w:rsidRPr="72E1D1C9">
        <w:rPr>
          <w:rFonts w:ascii="Helvetica" w:eastAsia="Helvetica" w:hAnsi="Helvetica" w:cs="Helvetica"/>
          <w:b/>
          <w:bCs/>
          <w:color w:val="37474F"/>
        </w:rPr>
        <w:t>“Delegate</w:t>
      </w:r>
      <w:r w:rsidRPr="72E1D1C9">
        <w:rPr>
          <w:rFonts w:ascii="Helvetica" w:eastAsia="Helvetica" w:hAnsi="Helvetica" w:cs="Helvetica"/>
          <w:color w:val="37474F"/>
        </w:rPr>
        <w:t xml:space="preserve"> to the Director of Housing, in consultation with the Cabinet Member for Housing and Communities, the Deputy Leader (statutory) for Finance and Asset Management, the Director of Law, Governance and Strategy (Monitoring Officer) and Group Finance Director (S151) the authority to enter in to such agreements as necessary to make the reinvestment in to the new “evergreen” property fund subject to reassurance from the fund that all or majority of the homes owned in Oxfordshire are retained through the reinvestment and satisfactory approval of the terms of the investment agreement.”</w:t>
      </w:r>
    </w:p>
    <w:p w14:paraId="18BBAACC" w14:textId="7A92CEB3" w:rsidR="007F7BC4" w:rsidRDefault="00DB5BCA" w:rsidP="1393A8AE">
      <w:pPr>
        <w:pStyle w:val="ListParagraph"/>
        <w:rPr>
          <w:rFonts w:cs="Arial"/>
          <w:color w:val="auto"/>
        </w:rPr>
      </w:pPr>
      <w:r w:rsidRPr="72E1D1C9">
        <w:rPr>
          <w:rFonts w:cs="Arial"/>
          <w:color w:val="auto"/>
        </w:rPr>
        <w:t xml:space="preserve">Officers have been working with Resonance to </w:t>
      </w:r>
      <w:r w:rsidR="00C00E03" w:rsidRPr="72E1D1C9">
        <w:rPr>
          <w:rFonts w:cs="Arial"/>
          <w:color w:val="auto"/>
        </w:rPr>
        <w:t>facilitate</w:t>
      </w:r>
      <w:r w:rsidRPr="72E1D1C9">
        <w:rPr>
          <w:rFonts w:cs="Arial"/>
          <w:color w:val="auto"/>
        </w:rPr>
        <w:t xml:space="preserve"> the reinvestment since that date, working closely with other LA investors. As of </w:t>
      </w:r>
      <w:r w:rsidR="00C00E03" w:rsidRPr="72E1D1C9">
        <w:rPr>
          <w:rFonts w:cs="Arial"/>
          <w:color w:val="auto"/>
        </w:rPr>
        <w:t>December,</w:t>
      </w:r>
      <w:r w:rsidRPr="72E1D1C9">
        <w:rPr>
          <w:rFonts w:cs="Arial"/>
          <w:color w:val="auto"/>
        </w:rPr>
        <w:t xml:space="preserve"> the new fund is not yet ready</w:t>
      </w:r>
      <w:r w:rsidR="00AF4A4C" w:rsidRPr="72E1D1C9">
        <w:rPr>
          <w:rFonts w:cs="Arial"/>
          <w:color w:val="auto"/>
        </w:rPr>
        <w:t xml:space="preserve">, with legal work ongoing, so </w:t>
      </w:r>
      <w:r w:rsidR="00C00E03" w:rsidRPr="72E1D1C9">
        <w:rPr>
          <w:rFonts w:cs="Arial"/>
          <w:color w:val="auto"/>
        </w:rPr>
        <w:t>Resonance</w:t>
      </w:r>
      <w:r w:rsidR="00AF4A4C" w:rsidRPr="72E1D1C9">
        <w:rPr>
          <w:rFonts w:cs="Arial"/>
          <w:color w:val="auto"/>
        </w:rPr>
        <w:t xml:space="preserve"> as manages</w:t>
      </w:r>
      <w:r w:rsidR="00B20525" w:rsidRPr="72E1D1C9">
        <w:rPr>
          <w:rFonts w:cs="Arial"/>
          <w:color w:val="auto"/>
        </w:rPr>
        <w:t xml:space="preserve"> of the fund</w:t>
      </w:r>
      <w:r w:rsidR="00AF4A4C" w:rsidRPr="72E1D1C9">
        <w:rPr>
          <w:rFonts w:cs="Arial"/>
          <w:color w:val="auto"/>
        </w:rPr>
        <w:t xml:space="preserve"> </w:t>
      </w:r>
      <w:r w:rsidR="00B20525" w:rsidRPr="72E1D1C9">
        <w:rPr>
          <w:rFonts w:cs="Arial"/>
          <w:color w:val="auto"/>
        </w:rPr>
        <w:t xml:space="preserve">have </w:t>
      </w:r>
      <w:r w:rsidR="00AF4A4C" w:rsidRPr="72E1D1C9">
        <w:rPr>
          <w:rFonts w:cs="Arial"/>
          <w:color w:val="auto"/>
        </w:rPr>
        <w:t xml:space="preserve">asked all </w:t>
      </w:r>
      <w:r w:rsidR="00C00E03" w:rsidRPr="72E1D1C9">
        <w:rPr>
          <w:rFonts w:cs="Arial"/>
          <w:color w:val="auto"/>
        </w:rPr>
        <w:t>investors</w:t>
      </w:r>
      <w:r w:rsidR="00AF4A4C" w:rsidRPr="72E1D1C9">
        <w:rPr>
          <w:rFonts w:cs="Arial"/>
          <w:color w:val="auto"/>
        </w:rPr>
        <w:t xml:space="preserve"> to support a </w:t>
      </w:r>
      <w:r w:rsidR="00C00E03" w:rsidRPr="72E1D1C9">
        <w:rPr>
          <w:rFonts w:cs="Arial"/>
          <w:color w:val="auto"/>
        </w:rPr>
        <w:t>resolution</w:t>
      </w:r>
      <w:r w:rsidR="00AF4A4C" w:rsidRPr="72E1D1C9">
        <w:rPr>
          <w:rFonts w:cs="Arial"/>
          <w:color w:val="auto"/>
        </w:rPr>
        <w:t xml:space="preserve"> to extend the current fund until April </w:t>
      </w:r>
      <w:r w:rsidR="00E46E4C" w:rsidRPr="72E1D1C9">
        <w:rPr>
          <w:rFonts w:cs="Arial"/>
          <w:color w:val="auto"/>
        </w:rPr>
        <w:t>202</w:t>
      </w:r>
      <w:r w:rsidR="00B20525" w:rsidRPr="72E1D1C9">
        <w:rPr>
          <w:rFonts w:cs="Arial"/>
          <w:color w:val="auto"/>
        </w:rPr>
        <w:t>6</w:t>
      </w:r>
      <w:r w:rsidR="00E46E4C" w:rsidRPr="72E1D1C9">
        <w:rPr>
          <w:rFonts w:cs="Arial"/>
          <w:color w:val="auto"/>
        </w:rPr>
        <w:t xml:space="preserve"> to give more time.</w:t>
      </w:r>
    </w:p>
    <w:p w14:paraId="48F70B21" w14:textId="509003A0" w:rsidR="7706FE3D" w:rsidRDefault="7706FE3D" w:rsidP="1393A8AE">
      <w:pPr>
        <w:pStyle w:val="ListParagraph"/>
        <w:rPr>
          <w:rFonts w:cs="Arial"/>
          <w:color w:val="auto"/>
        </w:rPr>
      </w:pPr>
      <w:r w:rsidRPr="72E1D1C9">
        <w:rPr>
          <w:rFonts w:cs="Arial"/>
          <w:color w:val="auto"/>
        </w:rPr>
        <w:t>It is considered that the current delegation enables the resolution to extend HNPF1 falls within the delegation as, without taking this step, the Council will be unable to reinvest in line with the decision of Cabinet on the 9 July 2025</w:t>
      </w:r>
      <w:r w:rsidR="53C3FDC6" w:rsidRPr="72E1D1C9">
        <w:rPr>
          <w:rFonts w:cs="Arial"/>
          <w:color w:val="auto"/>
        </w:rPr>
        <w:t xml:space="preserve">, once a new fund is ready and established. </w:t>
      </w:r>
    </w:p>
    <w:p w14:paraId="538E39A2" w14:textId="2E7F9FC6" w:rsidR="00E46E4C" w:rsidRPr="00613072" w:rsidRDefault="1012EA69" w:rsidP="1393A8AE">
      <w:pPr>
        <w:pStyle w:val="ListParagraph"/>
        <w:rPr>
          <w:rFonts w:cs="Arial"/>
          <w:color w:val="auto"/>
        </w:rPr>
      </w:pPr>
      <w:r w:rsidRPr="72E1D1C9">
        <w:rPr>
          <w:rFonts w:cs="Arial"/>
          <w:color w:val="auto"/>
        </w:rPr>
        <w:t xml:space="preserve">On this basis the </w:t>
      </w:r>
      <w:r w:rsidR="00E46E4C" w:rsidRPr="72E1D1C9">
        <w:rPr>
          <w:rFonts w:cs="Arial"/>
          <w:color w:val="auto"/>
        </w:rPr>
        <w:t>report</w:t>
      </w:r>
      <w:r w:rsidR="4963732D" w:rsidRPr="72E1D1C9">
        <w:rPr>
          <w:rFonts w:cs="Arial"/>
          <w:color w:val="auto"/>
        </w:rPr>
        <w:t xml:space="preserve"> therefore</w:t>
      </w:r>
      <w:r w:rsidR="00E46E4C" w:rsidRPr="72E1D1C9">
        <w:rPr>
          <w:rFonts w:cs="Arial"/>
          <w:color w:val="auto"/>
        </w:rPr>
        <w:t xml:space="preserve"> </w:t>
      </w:r>
      <w:r w:rsidR="00E7546D" w:rsidRPr="72E1D1C9">
        <w:rPr>
          <w:rFonts w:cs="Arial"/>
          <w:color w:val="auto"/>
        </w:rPr>
        <w:t>recommends</w:t>
      </w:r>
      <w:r w:rsidR="00E46E4C" w:rsidRPr="72E1D1C9">
        <w:rPr>
          <w:rFonts w:cs="Arial"/>
          <w:color w:val="auto"/>
        </w:rPr>
        <w:t xml:space="preserve"> to the </w:t>
      </w:r>
      <w:r w:rsidR="00E7546D" w:rsidRPr="72E1D1C9">
        <w:rPr>
          <w:rFonts w:cs="Arial"/>
          <w:color w:val="auto"/>
        </w:rPr>
        <w:t>Director</w:t>
      </w:r>
      <w:r w:rsidR="00E46E4C" w:rsidRPr="72E1D1C9">
        <w:rPr>
          <w:rFonts w:cs="Arial"/>
          <w:color w:val="auto"/>
        </w:rPr>
        <w:t xml:space="preserve"> of Housing to support this </w:t>
      </w:r>
      <w:r w:rsidR="00E7546D" w:rsidRPr="72E1D1C9">
        <w:rPr>
          <w:rFonts w:cs="Arial"/>
          <w:color w:val="auto"/>
        </w:rPr>
        <w:t>resolution</w:t>
      </w:r>
      <w:r w:rsidR="00E46E4C" w:rsidRPr="72E1D1C9">
        <w:rPr>
          <w:rFonts w:cs="Arial"/>
          <w:color w:val="auto"/>
        </w:rPr>
        <w:t xml:space="preserve"> to enable the </w:t>
      </w:r>
      <w:r w:rsidR="00E7546D" w:rsidRPr="72E1D1C9">
        <w:rPr>
          <w:rFonts w:cs="Arial"/>
          <w:color w:val="auto"/>
        </w:rPr>
        <w:t>extension</w:t>
      </w:r>
      <w:r w:rsidR="5545C0B4" w:rsidRPr="72E1D1C9">
        <w:rPr>
          <w:rFonts w:cs="Arial"/>
          <w:color w:val="auto"/>
        </w:rPr>
        <w:t xml:space="preserve">, agreeing to enter </w:t>
      </w:r>
      <w:proofErr w:type="gramStart"/>
      <w:r w:rsidR="5545C0B4" w:rsidRPr="72E1D1C9">
        <w:rPr>
          <w:rFonts w:cs="Arial"/>
          <w:color w:val="auto"/>
        </w:rPr>
        <w:t>in to</w:t>
      </w:r>
      <w:proofErr w:type="gramEnd"/>
      <w:r w:rsidR="5545C0B4" w:rsidRPr="72E1D1C9">
        <w:rPr>
          <w:rFonts w:cs="Arial"/>
          <w:color w:val="auto"/>
        </w:rPr>
        <w:t xml:space="preserve"> any required agreements to facilitate it</w:t>
      </w:r>
      <w:r w:rsidR="00E7546D" w:rsidRPr="72E1D1C9">
        <w:rPr>
          <w:rFonts w:cs="Arial"/>
          <w:color w:val="auto"/>
        </w:rPr>
        <w:t>. Without a</w:t>
      </w:r>
      <w:r w:rsidR="00B20525" w:rsidRPr="72E1D1C9">
        <w:rPr>
          <w:rFonts w:cs="Arial"/>
          <w:color w:val="auto"/>
        </w:rPr>
        <w:t>n</w:t>
      </w:r>
      <w:r w:rsidR="00E7546D" w:rsidRPr="72E1D1C9">
        <w:rPr>
          <w:rFonts w:cs="Arial"/>
          <w:color w:val="auto"/>
        </w:rPr>
        <w:t xml:space="preserve"> extension the fund would close, risking the Councils £10m investment and the continued operation of the </w:t>
      </w:r>
      <w:r w:rsidR="00020699" w:rsidRPr="72E1D1C9">
        <w:rPr>
          <w:rFonts w:cs="Arial"/>
          <w:color w:val="auto"/>
        </w:rPr>
        <w:t>homes</w:t>
      </w:r>
      <w:r w:rsidR="00E7546D" w:rsidRPr="72E1D1C9">
        <w:rPr>
          <w:rFonts w:cs="Arial"/>
          <w:color w:val="auto"/>
        </w:rPr>
        <w:t xml:space="preserve"> to house </w:t>
      </w:r>
      <w:r w:rsidR="00020699" w:rsidRPr="72E1D1C9">
        <w:rPr>
          <w:rFonts w:cs="Arial"/>
          <w:color w:val="auto"/>
        </w:rPr>
        <w:t>formerly</w:t>
      </w:r>
      <w:r w:rsidR="00E7546D" w:rsidRPr="72E1D1C9">
        <w:rPr>
          <w:rFonts w:cs="Arial"/>
          <w:color w:val="auto"/>
        </w:rPr>
        <w:t xml:space="preserve"> homeless families.</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4AE061E5" w:rsidR="006C7D2E" w:rsidRPr="00C55247" w:rsidRDefault="00E7546D" w:rsidP="007C1F3D">
      <w:pPr>
        <w:pStyle w:val="ListParagraph"/>
      </w:pPr>
      <w:r>
        <w:t xml:space="preserve">Not supporting the </w:t>
      </w:r>
      <w:r w:rsidR="00020699">
        <w:t>resolution</w:t>
      </w:r>
      <w:r>
        <w:t xml:space="preserve"> was considered but bring</w:t>
      </w:r>
      <w:r w:rsidR="00F848F6">
        <w:t>s</w:t>
      </w:r>
      <w:r>
        <w:t xml:space="preserve"> no </w:t>
      </w:r>
      <w:proofErr w:type="gramStart"/>
      <w:r>
        <w:t>advantages, and</w:t>
      </w:r>
      <w:proofErr w:type="gramEnd"/>
      <w:r>
        <w:t xml:space="preserve"> would expose the Council to considerable risk if the fund was to close with no successor fund in place.</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135CAADA" w:rsidR="009D3627" w:rsidRPr="00C55247" w:rsidRDefault="00E7546D" w:rsidP="6705CB2F">
      <w:pPr>
        <w:pStyle w:val="ListParagraph"/>
        <w:rPr>
          <w:color w:val="auto"/>
        </w:rPr>
      </w:pPr>
      <w:r>
        <w:rPr>
          <w:color w:val="auto"/>
        </w:rPr>
        <w:t xml:space="preserve">No detrimental </w:t>
      </w:r>
      <w:r w:rsidR="00020699">
        <w:rPr>
          <w:color w:val="auto"/>
        </w:rPr>
        <w:t>equality impacts</w:t>
      </w:r>
      <w:r>
        <w:rPr>
          <w:color w:val="auto"/>
        </w:rPr>
        <w:t xml:space="preserve"> are associated with this </w:t>
      </w:r>
      <w:r w:rsidR="00020699">
        <w:rPr>
          <w:color w:val="auto"/>
        </w:rPr>
        <w:t>decision</w:t>
      </w:r>
      <w:r>
        <w:rPr>
          <w:color w:val="auto"/>
        </w:rPr>
        <w:t xml:space="preserve">, it is a short extension to an existing fund. Full </w:t>
      </w:r>
      <w:r w:rsidR="00020699">
        <w:rPr>
          <w:color w:val="auto"/>
        </w:rPr>
        <w:t>consideration</w:t>
      </w:r>
      <w:r>
        <w:rPr>
          <w:color w:val="auto"/>
        </w:rPr>
        <w:t xml:space="preserve"> of the reinvestment was contained with</w:t>
      </w:r>
      <w:r w:rsidR="00EA6996">
        <w:rPr>
          <w:color w:val="auto"/>
        </w:rPr>
        <w:t xml:space="preserve">in the July Cabinet report. </w:t>
      </w:r>
    </w:p>
    <w:p w14:paraId="7AED9DA2" w14:textId="77E21A27" w:rsidR="009E68E0" w:rsidRPr="00C55247" w:rsidRDefault="009E68E0" w:rsidP="001A1BA1">
      <w:pPr>
        <w:pStyle w:val="Heading1"/>
        <w:rPr>
          <w:rFonts w:cs="Arial"/>
          <w:color w:val="auto"/>
        </w:rPr>
      </w:pPr>
      <w:r w:rsidRPr="00C55247">
        <w:rPr>
          <w:rFonts w:cs="Arial"/>
          <w:color w:val="auto"/>
        </w:rPr>
        <w:t xml:space="preserve">Risks </w:t>
      </w:r>
    </w:p>
    <w:p w14:paraId="1585D049" w14:textId="39F9B396" w:rsidR="009E68E0" w:rsidRPr="00C55247" w:rsidRDefault="00EA6996" w:rsidP="009E68E0">
      <w:pPr>
        <w:pStyle w:val="ListParagraph"/>
        <w:rPr>
          <w:color w:val="auto"/>
        </w:rPr>
      </w:pPr>
      <w:r>
        <w:rPr>
          <w:color w:val="auto"/>
        </w:rPr>
        <w:t xml:space="preserve">As outlined, there is </w:t>
      </w:r>
      <w:r w:rsidR="00020699">
        <w:rPr>
          <w:color w:val="auto"/>
        </w:rPr>
        <w:t>considerable</w:t>
      </w:r>
      <w:r>
        <w:rPr>
          <w:color w:val="auto"/>
        </w:rPr>
        <w:t xml:space="preserve"> risk if this </w:t>
      </w:r>
      <w:r w:rsidR="00020699">
        <w:rPr>
          <w:color w:val="auto"/>
        </w:rPr>
        <w:t>resolution</w:t>
      </w:r>
      <w:r>
        <w:rPr>
          <w:color w:val="auto"/>
        </w:rPr>
        <w:t xml:space="preserve"> as not supported. </w:t>
      </w:r>
      <w:r w:rsidR="005B1486">
        <w:rPr>
          <w:color w:val="auto"/>
        </w:rPr>
        <w:t xml:space="preserve">A </w:t>
      </w:r>
      <w:r w:rsidR="00020699">
        <w:rPr>
          <w:color w:val="auto"/>
        </w:rPr>
        <w:t>full</w:t>
      </w:r>
      <w:r w:rsidR="005B1486">
        <w:rPr>
          <w:color w:val="auto"/>
        </w:rPr>
        <w:t xml:space="preserve"> risk register was attached as part </w:t>
      </w:r>
      <w:r w:rsidR="00020699">
        <w:rPr>
          <w:color w:val="auto"/>
        </w:rPr>
        <w:t>of</w:t>
      </w:r>
      <w:r w:rsidR="005B1486">
        <w:rPr>
          <w:color w:val="auto"/>
        </w:rPr>
        <w:t xml:space="preserve"> the </w:t>
      </w:r>
      <w:r w:rsidR="00020699">
        <w:rPr>
          <w:color w:val="auto"/>
        </w:rPr>
        <w:t>July</w:t>
      </w:r>
      <w:r w:rsidR="005B1486">
        <w:rPr>
          <w:color w:val="auto"/>
        </w:rPr>
        <w:t xml:space="preserve"> Cabinet report. </w:t>
      </w:r>
    </w:p>
    <w:p w14:paraId="6A43684D" w14:textId="77777777" w:rsidR="00630829" w:rsidRPr="00C55247" w:rsidRDefault="00630829" w:rsidP="00630829">
      <w:pPr>
        <w:pStyle w:val="bParagraphtext"/>
        <w:numPr>
          <w:ilvl w:val="0"/>
          <w:numId w:val="0"/>
        </w:numPr>
        <w:rPr>
          <w:color w:val="auto"/>
        </w:rPr>
      </w:pPr>
      <w:r w:rsidRPr="00C55247">
        <w:rPr>
          <w:b/>
          <w:color w:val="auto"/>
        </w:rPr>
        <w:t xml:space="preserve">Carbon and Environmental Considerations </w:t>
      </w:r>
    </w:p>
    <w:p w14:paraId="370548E2" w14:textId="6C6CFB8A" w:rsidR="00630829" w:rsidRPr="00E02AC8" w:rsidRDefault="00E02AC8" w:rsidP="00E02AC8">
      <w:pPr>
        <w:pStyle w:val="bParagraphtext"/>
        <w:rPr>
          <w:color w:val="auto"/>
        </w:rPr>
      </w:pPr>
      <w:r w:rsidRPr="00E02AC8">
        <w:rPr>
          <w:color w:val="auto"/>
        </w:rPr>
        <w:t>No carbon or environmental considerations are anticipated, all the homes are</w:t>
      </w:r>
      <w:r>
        <w:rPr>
          <w:color w:val="auto"/>
        </w:rPr>
        <w:t xml:space="preserve"> </w:t>
      </w:r>
      <w:r w:rsidRPr="00E02AC8">
        <w:rPr>
          <w:color w:val="auto"/>
        </w:rPr>
        <w:t>already purchased and renovated, this report is extending this investment.</w:t>
      </w:r>
    </w:p>
    <w:p w14:paraId="2454F4E3" w14:textId="77777777" w:rsidR="00630829" w:rsidRDefault="00630829" w:rsidP="00630829">
      <w:pPr>
        <w:pStyle w:val="ListParagraph"/>
        <w:numPr>
          <w:ilvl w:val="0"/>
          <w:numId w:val="0"/>
        </w:numPr>
        <w:ind w:left="426"/>
      </w:pPr>
    </w:p>
    <w:p w14:paraId="4282B049" w14:textId="6C265F5E" w:rsidR="00E87F7A" w:rsidRPr="003E4C33" w:rsidRDefault="00E87F7A" w:rsidP="001A1BA1">
      <w:pPr>
        <w:pStyle w:val="Heading1"/>
        <w:rPr>
          <w:rFonts w:cs="Arial"/>
        </w:rPr>
      </w:pPr>
    </w:p>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62EB730E">
        <w:tc>
          <w:tcPr>
            <w:tcW w:w="1883" w:type="dxa"/>
          </w:tcPr>
          <w:p w14:paraId="2AB1A861" w14:textId="77777777" w:rsidR="00372A82" w:rsidRPr="003E4C33" w:rsidRDefault="00372A82" w:rsidP="00C076B9">
            <w:pPr>
              <w:pStyle w:val="Bulletpoints"/>
              <w:numPr>
                <w:ilvl w:val="0"/>
                <w:numId w:val="0"/>
              </w:numPr>
              <w:rPr>
                <w:rFonts w:cs="Arial"/>
                <w:b/>
              </w:rPr>
            </w:pPr>
            <w:r w:rsidRPr="003E4C33">
              <w:rPr>
                <w:rFonts w:cs="Arial"/>
                <w:b/>
              </w:rPr>
              <w:t>Financial implications</w:t>
            </w:r>
          </w:p>
        </w:tc>
        <w:tc>
          <w:tcPr>
            <w:tcW w:w="4379" w:type="dxa"/>
          </w:tcPr>
          <w:p w14:paraId="0696855A" w14:textId="5AB4BB59" w:rsidR="00372A82" w:rsidRPr="00C55247" w:rsidRDefault="02D42A92" w:rsidP="72E1D1C9">
            <w:pPr>
              <w:rPr>
                <w:rFonts w:cs="Arial"/>
                <w:color w:val="auto"/>
              </w:rPr>
            </w:pPr>
            <w:r w:rsidRPr="72E1D1C9">
              <w:rPr>
                <w:rStyle w:val="bParagraphtextChar"/>
                <w:rFonts w:cs="Arial"/>
                <w:color w:val="auto"/>
              </w:rPr>
              <w:t>T</w:t>
            </w:r>
            <w:r w:rsidRPr="72E1D1C9">
              <w:rPr>
                <w:rStyle w:val="bParagraphtextChar"/>
                <w:rFonts w:cs="Arial"/>
              </w:rPr>
              <w:t xml:space="preserve">his is </w:t>
            </w:r>
            <w:r w:rsidRPr="72E1D1C9">
              <w:rPr>
                <w:rStyle w:val="bParagraphtextChar"/>
                <w:rFonts w:cs="Arial"/>
                <w:color w:val="auto"/>
              </w:rPr>
              <w:t>e</w:t>
            </w:r>
            <w:r w:rsidRPr="72E1D1C9">
              <w:rPr>
                <w:rStyle w:val="bParagraphtextChar"/>
                <w:rFonts w:cs="Arial"/>
              </w:rPr>
              <w:t xml:space="preserve">ffectively a formality as part of moving the investment into a follow-on fund and is only necessary due to delays in setting up the </w:t>
            </w:r>
            <w:proofErr w:type="gramStart"/>
            <w:r w:rsidRPr="72E1D1C9">
              <w:rPr>
                <w:rStyle w:val="bParagraphtextChar"/>
                <w:rFonts w:cs="Arial"/>
              </w:rPr>
              <w:t>follow on</w:t>
            </w:r>
            <w:proofErr w:type="gramEnd"/>
            <w:r w:rsidRPr="72E1D1C9">
              <w:rPr>
                <w:rStyle w:val="bParagraphtextChar"/>
                <w:rFonts w:cs="Arial"/>
              </w:rPr>
              <w:t xml:space="preserve"> fund.  The Council will continue to receive the dividends and the benefit of the nominations.  Not approving would both be counter to the intention of Cabinet and would have adverse effects on the individuals housed and would increase the cost of temporary accommodation.  If the extension were not approved, there would be delays in repaying due to the nature of the fund whereby capital is tied up in assets which can only be liquidated through sale.</w:t>
            </w:r>
          </w:p>
        </w:tc>
        <w:tc>
          <w:tcPr>
            <w:tcW w:w="3026" w:type="dxa"/>
          </w:tcPr>
          <w:p w14:paraId="57868ECF" w14:textId="77777777" w:rsidR="00372A82" w:rsidRPr="00C55247" w:rsidRDefault="001A1BA1" w:rsidP="00C076B9">
            <w:pPr>
              <w:pStyle w:val="Bulletpoints"/>
              <w:numPr>
                <w:ilvl w:val="0"/>
                <w:numId w:val="0"/>
              </w:numPr>
              <w:rPr>
                <w:rFonts w:cs="Arial"/>
                <w:b/>
                <w:color w:val="auto"/>
              </w:rPr>
            </w:pPr>
            <w:r w:rsidRPr="00C55247">
              <w:rPr>
                <w:rFonts w:cs="Arial"/>
                <w:b/>
                <w:color w:val="auto"/>
              </w:rPr>
              <w:t>Completed by:</w:t>
            </w:r>
          </w:p>
          <w:p w14:paraId="60216F1E" w14:textId="75C9F774" w:rsidR="001A1BA1" w:rsidRPr="00C55247" w:rsidRDefault="02D42A92" w:rsidP="00C076B9">
            <w:pPr>
              <w:pStyle w:val="Bulletpoints"/>
              <w:numPr>
                <w:ilvl w:val="0"/>
                <w:numId w:val="0"/>
              </w:numPr>
              <w:rPr>
                <w:rFonts w:cs="Arial"/>
                <w:color w:val="auto"/>
              </w:rPr>
            </w:pPr>
            <w:r w:rsidRPr="72E1D1C9">
              <w:rPr>
                <w:rFonts w:cs="Arial"/>
                <w:color w:val="auto"/>
              </w:rPr>
              <w:t>B</w:t>
            </w:r>
            <w:r w:rsidRPr="72E1D1C9">
              <w:rPr>
                <w:color w:val="auto"/>
              </w:rPr>
              <w:t>ill Lewis, Financial Accounting Manager</w:t>
            </w:r>
          </w:p>
          <w:p w14:paraId="7DB0BC85" w14:textId="77777777" w:rsidR="001A1BA1" w:rsidRPr="00C55247" w:rsidRDefault="001A1BA1" w:rsidP="00C076B9">
            <w:pPr>
              <w:pStyle w:val="Bulletpoints"/>
              <w:numPr>
                <w:ilvl w:val="0"/>
                <w:numId w:val="0"/>
              </w:numPr>
              <w:rPr>
                <w:rFonts w:cs="Arial"/>
                <w:b/>
                <w:color w:val="auto"/>
              </w:rPr>
            </w:pPr>
            <w:r w:rsidRPr="00C55247">
              <w:rPr>
                <w:rFonts w:cs="Arial"/>
                <w:b/>
                <w:color w:val="auto"/>
              </w:rPr>
              <w:t>Date:</w:t>
            </w:r>
          </w:p>
          <w:p w14:paraId="003D265E" w14:textId="4FC4B7E6" w:rsidR="001A1BA1" w:rsidRPr="00C55247" w:rsidRDefault="02D42A92" w:rsidP="00C076B9">
            <w:pPr>
              <w:pStyle w:val="Bulletpoints"/>
              <w:numPr>
                <w:ilvl w:val="0"/>
                <w:numId w:val="0"/>
              </w:numPr>
              <w:rPr>
                <w:rFonts w:cs="Arial"/>
                <w:color w:val="auto"/>
              </w:rPr>
            </w:pPr>
            <w:r w:rsidRPr="72E1D1C9">
              <w:rPr>
                <w:rFonts w:cs="Arial"/>
                <w:color w:val="auto"/>
              </w:rPr>
              <w:t>3</w:t>
            </w:r>
            <w:r w:rsidRPr="72E1D1C9">
              <w:rPr>
                <w:color w:val="auto"/>
              </w:rPr>
              <w:t>rd December 2025</w:t>
            </w:r>
          </w:p>
        </w:tc>
      </w:tr>
      <w:tr w:rsidR="00372A82" w:rsidRPr="003E4C33" w14:paraId="7D8DECFB" w14:textId="77777777" w:rsidTr="62EB730E">
        <w:tc>
          <w:tcPr>
            <w:tcW w:w="1883" w:type="dxa"/>
          </w:tcPr>
          <w:p w14:paraId="1C5F2B75" w14:textId="77777777" w:rsidR="00372A82" w:rsidRPr="003E4C33" w:rsidRDefault="00372A82" w:rsidP="008A34D3">
            <w:pPr>
              <w:pStyle w:val="Bulletpoints"/>
              <w:numPr>
                <w:ilvl w:val="0"/>
                <w:numId w:val="0"/>
              </w:numPr>
              <w:rPr>
                <w:rFonts w:cs="Arial"/>
                <w:b/>
              </w:rPr>
            </w:pPr>
            <w:r w:rsidRPr="003E4C33">
              <w:rPr>
                <w:rFonts w:cs="Arial"/>
                <w:b/>
              </w:rPr>
              <w:t xml:space="preserve">Legal </w:t>
            </w:r>
            <w:r w:rsidR="008A34D3" w:rsidRPr="003E4C33">
              <w:rPr>
                <w:rFonts w:cs="Arial"/>
                <w:b/>
              </w:rPr>
              <w:t xml:space="preserve">implications </w:t>
            </w:r>
          </w:p>
        </w:tc>
        <w:tc>
          <w:tcPr>
            <w:tcW w:w="4379" w:type="dxa"/>
          </w:tcPr>
          <w:p w14:paraId="11BAD199" w14:textId="13C418A7" w:rsidR="00372A82" w:rsidRPr="00C55247" w:rsidRDefault="4F706CD4" w:rsidP="62EB730E">
            <w:pPr>
              <w:pStyle w:val="bParagraphtext"/>
              <w:numPr>
                <w:ilvl w:val="0"/>
                <w:numId w:val="0"/>
              </w:numPr>
              <w:tabs>
                <w:tab w:val="clear" w:pos="426"/>
                <w:tab w:val="left" w:pos="176"/>
              </w:tabs>
              <w:rPr>
                <w:rStyle w:val="bParagraphtextChar"/>
                <w:rFonts w:cs="Arial"/>
                <w:color w:val="auto"/>
              </w:rPr>
            </w:pPr>
            <w:r w:rsidRPr="62EB730E">
              <w:rPr>
                <w:rFonts w:cs="Arial"/>
                <w:color w:val="auto"/>
              </w:rPr>
              <w:t xml:space="preserve">The resolution requires a decision by the Council </w:t>
            </w:r>
            <w:proofErr w:type="gramStart"/>
            <w:r w:rsidRPr="62EB730E">
              <w:rPr>
                <w:rFonts w:cs="Arial"/>
                <w:color w:val="auto"/>
              </w:rPr>
              <w:t>in order to</w:t>
            </w:r>
            <w:proofErr w:type="gramEnd"/>
            <w:r w:rsidRPr="62EB730E">
              <w:rPr>
                <w:rFonts w:cs="Arial"/>
                <w:color w:val="auto"/>
              </w:rPr>
              <w:t xml:space="preserve"> sign it as a Limited Partner. It further requires the Council to enter in to an</w:t>
            </w:r>
            <w:r w:rsidR="3BCB2350" w:rsidRPr="62EB730E">
              <w:rPr>
                <w:rFonts w:cs="Arial"/>
                <w:color w:val="auto"/>
              </w:rPr>
              <w:t xml:space="preserve"> agreement to secure the continuation of the fund, setting out the terms of the continuation, Signing of this will need to be subject to a legal review and this has not yet been </w:t>
            </w:r>
            <w:r w:rsidR="4B5E5545" w:rsidRPr="62EB730E">
              <w:rPr>
                <w:rFonts w:cs="Arial"/>
                <w:color w:val="auto"/>
              </w:rPr>
              <w:t>received</w:t>
            </w:r>
            <w:r w:rsidR="3BCB2350" w:rsidRPr="62EB730E">
              <w:rPr>
                <w:rFonts w:cs="Arial"/>
                <w:color w:val="auto"/>
              </w:rPr>
              <w:t>,</w:t>
            </w:r>
            <w:r w:rsidR="7B9C397E" w:rsidRPr="62EB730E">
              <w:rPr>
                <w:rFonts w:cs="Arial"/>
                <w:color w:val="auto"/>
              </w:rPr>
              <w:t xml:space="preserve"> </w:t>
            </w:r>
            <w:r w:rsidR="3BCB2350" w:rsidRPr="62EB730E">
              <w:rPr>
                <w:rFonts w:cs="Arial"/>
                <w:color w:val="auto"/>
              </w:rPr>
              <w:t>however it is assumed that it will be on substantiall</w:t>
            </w:r>
            <w:r w:rsidR="52267E43" w:rsidRPr="62EB730E">
              <w:rPr>
                <w:rFonts w:cs="Arial"/>
                <w:color w:val="auto"/>
              </w:rPr>
              <w:t xml:space="preserve">y the same basis as is currently in place, with the amendment as set out in the resolution, </w:t>
            </w:r>
          </w:p>
        </w:tc>
        <w:tc>
          <w:tcPr>
            <w:tcW w:w="3026" w:type="dxa"/>
          </w:tcPr>
          <w:p w14:paraId="47079A0C"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09AD926F" w14:textId="4DAE10C8" w:rsidR="001A1BA1" w:rsidRPr="00C55247" w:rsidRDefault="001A1BA1" w:rsidP="001A1BA1">
            <w:pPr>
              <w:pStyle w:val="Bulletpoints"/>
              <w:numPr>
                <w:ilvl w:val="0"/>
                <w:numId w:val="0"/>
              </w:numPr>
              <w:rPr>
                <w:rFonts w:cs="Arial"/>
                <w:color w:val="auto"/>
              </w:rPr>
            </w:pPr>
          </w:p>
          <w:p w14:paraId="28CBBA65" w14:textId="35955915" w:rsidR="001A1BA1" w:rsidRPr="00C55247" w:rsidRDefault="13748F44" w:rsidP="001408A2">
            <w:pPr>
              <w:pStyle w:val="Bulletpoints"/>
              <w:numPr>
                <w:ilvl w:val="0"/>
                <w:numId w:val="0"/>
              </w:numPr>
              <w:spacing w:line="259" w:lineRule="auto"/>
              <w:rPr>
                <w:rFonts w:cs="Arial"/>
                <w:b/>
                <w:bCs/>
                <w:color w:val="auto"/>
              </w:rPr>
            </w:pPr>
            <w:r w:rsidRPr="62EB730E">
              <w:rPr>
                <w:rFonts w:cs="Arial"/>
                <w:b/>
                <w:bCs/>
                <w:color w:val="auto"/>
              </w:rPr>
              <w:t xml:space="preserve">Emma Jackman, Director of Law, </w:t>
            </w:r>
            <w:r w:rsidR="758F8F8A" w:rsidRPr="62EB730E">
              <w:rPr>
                <w:rFonts w:cs="Arial"/>
                <w:b/>
                <w:bCs/>
                <w:color w:val="auto"/>
              </w:rPr>
              <w:t>Governance</w:t>
            </w:r>
            <w:r w:rsidRPr="62EB730E">
              <w:rPr>
                <w:rFonts w:cs="Arial"/>
                <w:b/>
                <w:bCs/>
                <w:color w:val="auto"/>
              </w:rPr>
              <w:t xml:space="preserve"> and Strategy </w:t>
            </w:r>
          </w:p>
          <w:p w14:paraId="62D75828" w14:textId="32A5E379" w:rsidR="001A1BA1" w:rsidRPr="00C55247" w:rsidRDefault="001A1BA1" w:rsidP="37A744C0">
            <w:pPr>
              <w:pStyle w:val="Bulletpoints"/>
              <w:numPr>
                <w:ilvl w:val="0"/>
                <w:numId w:val="0"/>
              </w:numPr>
              <w:spacing w:line="259" w:lineRule="auto"/>
              <w:rPr>
                <w:rFonts w:cs="Arial"/>
                <w:b/>
                <w:bCs/>
                <w:color w:val="auto"/>
              </w:rPr>
            </w:pPr>
            <w:r w:rsidRPr="62EB730E">
              <w:rPr>
                <w:rFonts w:cs="Arial"/>
                <w:b/>
                <w:bCs/>
                <w:color w:val="auto"/>
              </w:rPr>
              <w:t>Date:</w:t>
            </w:r>
            <w:r w:rsidR="6BDB0AA2" w:rsidRPr="62EB730E">
              <w:rPr>
                <w:rFonts w:cs="Arial"/>
                <w:b/>
                <w:bCs/>
                <w:color w:val="auto"/>
              </w:rPr>
              <w:t xml:space="preserve"> 5 December 2025</w:t>
            </w:r>
          </w:p>
          <w:p w14:paraId="7A5DDA55" w14:textId="76765356" w:rsidR="00372A82" w:rsidRPr="00C55247" w:rsidRDefault="00372A82" w:rsidP="001A1BA1">
            <w:pPr>
              <w:pStyle w:val="Bulletpoints"/>
              <w:numPr>
                <w:ilvl w:val="0"/>
                <w:numId w:val="0"/>
              </w:numPr>
              <w:rPr>
                <w:rFonts w:cs="Arial"/>
                <w:color w:val="auto"/>
              </w:rPr>
            </w:pPr>
          </w:p>
        </w:tc>
      </w:tr>
      <w:tr w:rsidR="001A1BA1" w:rsidRPr="003E4C33" w14:paraId="6F38FEBF" w14:textId="77777777" w:rsidTr="62EB730E">
        <w:tc>
          <w:tcPr>
            <w:tcW w:w="1883" w:type="dxa"/>
          </w:tcPr>
          <w:p w14:paraId="48C94DFF" w14:textId="77777777" w:rsidR="001A1BA1" w:rsidRPr="003E4C33" w:rsidRDefault="001A1BA1" w:rsidP="00C076B9">
            <w:pPr>
              <w:pStyle w:val="Bulletpoints"/>
              <w:numPr>
                <w:ilvl w:val="0"/>
                <w:numId w:val="0"/>
              </w:numPr>
              <w:rPr>
                <w:rFonts w:cs="Arial"/>
                <w:b/>
              </w:rPr>
            </w:pPr>
            <w:r w:rsidRPr="003E4C33">
              <w:rPr>
                <w:rFonts w:cs="Arial"/>
                <w:b/>
              </w:rPr>
              <w:t>Other implications</w:t>
            </w:r>
          </w:p>
        </w:tc>
        <w:tc>
          <w:tcPr>
            <w:tcW w:w="4379" w:type="dxa"/>
          </w:tcPr>
          <w:p w14:paraId="169D83D7" w14:textId="607FA5E4" w:rsidR="00CB7A4F" w:rsidRPr="00C55247" w:rsidRDefault="78DC8C77" w:rsidP="00372A82">
            <w:pPr>
              <w:pStyle w:val="bParagraphtext"/>
              <w:numPr>
                <w:ilvl w:val="0"/>
                <w:numId w:val="0"/>
              </w:numPr>
              <w:rPr>
                <w:rFonts w:cs="Arial"/>
                <w:color w:val="auto"/>
              </w:rPr>
            </w:pPr>
            <w:r w:rsidRPr="62EB730E">
              <w:rPr>
                <w:rFonts w:cs="Arial"/>
                <w:color w:val="auto"/>
              </w:rPr>
              <w:t>N/A</w:t>
            </w:r>
          </w:p>
          <w:p w14:paraId="6DC2105E" w14:textId="5E463B2D" w:rsidR="00CB7A4F" w:rsidRPr="00C55247" w:rsidRDefault="00CB7A4F" w:rsidP="00372A82">
            <w:pPr>
              <w:pStyle w:val="bParagraphtext"/>
              <w:numPr>
                <w:ilvl w:val="0"/>
                <w:numId w:val="0"/>
              </w:numPr>
              <w:rPr>
                <w:rFonts w:cs="Arial"/>
                <w:color w:val="auto"/>
              </w:rPr>
            </w:pPr>
          </w:p>
        </w:tc>
        <w:tc>
          <w:tcPr>
            <w:tcW w:w="3026" w:type="dxa"/>
          </w:tcPr>
          <w:p w14:paraId="48FAD318" w14:textId="77777777" w:rsidR="001A1BA1" w:rsidRPr="00C55247" w:rsidRDefault="001A1BA1" w:rsidP="001A1BA1">
            <w:pPr>
              <w:pStyle w:val="Bulletpoints"/>
              <w:numPr>
                <w:ilvl w:val="0"/>
                <w:numId w:val="0"/>
              </w:numPr>
              <w:rPr>
                <w:rFonts w:cs="Arial"/>
                <w:b/>
                <w:color w:val="auto"/>
              </w:rPr>
            </w:pPr>
            <w:r w:rsidRPr="00C55247">
              <w:rPr>
                <w:rFonts w:cs="Arial"/>
                <w:b/>
                <w:color w:val="auto"/>
              </w:rPr>
              <w:t>Completed by:</w:t>
            </w:r>
          </w:p>
          <w:p w14:paraId="59811DC1" w14:textId="77777777" w:rsidR="001A1BA1" w:rsidRPr="00C55247" w:rsidRDefault="001A1BA1" w:rsidP="001A1BA1">
            <w:pPr>
              <w:pStyle w:val="Bulletpoints"/>
              <w:numPr>
                <w:ilvl w:val="0"/>
                <w:numId w:val="0"/>
              </w:numPr>
              <w:rPr>
                <w:rFonts w:cs="Arial"/>
                <w:color w:val="auto"/>
              </w:rPr>
            </w:pPr>
            <w:r w:rsidRPr="00C55247">
              <w:rPr>
                <w:rFonts w:cs="Arial"/>
                <w:color w:val="auto"/>
              </w:rPr>
              <w:t>Insert name and job title</w:t>
            </w:r>
          </w:p>
          <w:p w14:paraId="495F4D61" w14:textId="77777777" w:rsidR="001A1BA1" w:rsidRPr="00C55247" w:rsidRDefault="001A1BA1" w:rsidP="001A1BA1">
            <w:pPr>
              <w:pStyle w:val="Bulletpoints"/>
              <w:numPr>
                <w:ilvl w:val="0"/>
                <w:numId w:val="0"/>
              </w:numPr>
              <w:rPr>
                <w:rFonts w:cs="Arial"/>
                <w:b/>
                <w:color w:val="auto"/>
              </w:rPr>
            </w:pPr>
            <w:r w:rsidRPr="00C55247">
              <w:rPr>
                <w:rFonts w:cs="Arial"/>
                <w:b/>
                <w:color w:val="auto"/>
              </w:rPr>
              <w:t>Date:</w:t>
            </w:r>
          </w:p>
          <w:p w14:paraId="68285B07" w14:textId="77777777" w:rsidR="001A1BA1" w:rsidRPr="00C55247" w:rsidRDefault="001A1BA1" w:rsidP="001A1BA1">
            <w:pPr>
              <w:pStyle w:val="Bulletpoints"/>
              <w:numPr>
                <w:ilvl w:val="0"/>
                <w:numId w:val="0"/>
              </w:numPr>
              <w:rPr>
                <w:rFonts w:cs="Arial"/>
                <w:color w:val="auto"/>
              </w:rPr>
            </w:pPr>
            <w:r w:rsidRPr="00C55247">
              <w:rPr>
                <w:rFonts w:cs="Arial"/>
                <w:color w:val="auto"/>
              </w:rPr>
              <w:t>Insert date</w:t>
            </w:r>
          </w:p>
        </w:tc>
      </w:tr>
      <w:tr w:rsidR="007967CA" w:rsidRPr="003E4C33" w14:paraId="2C18B277" w14:textId="77777777" w:rsidTr="62EB730E">
        <w:tc>
          <w:tcPr>
            <w:tcW w:w="1883" w:type="dxa"/>
          </w:tcPr>
          <w:p w14:paraId="4EB49136" w14:textId="6AAF52DF" w:rsidR="007967CA" w:rsidRPr="003E4C33" w:rsidRDefault="007967CA" w:rsidP="00C076B9">
            <w:pPr>
              <w:pStyle w:val="Bulletpoints"/>
              <w:numPr>
                <w:ilvl w:val="0"/>
                <w:numId w:val="0"/>
              </w:numPr>
              <w:rPr>
                <w:rFonts w:cs="Arial"/>
                <w:b/>
              </w:rPr>
            </w:pPr>
            <w:r w:rsidRPr="003E4C33">
              <w:rPr>
                <w:rFonts w:cs="Arial"/>
                <w:b/>
              </w:rPr>
              <w:t xml:space="preserve">Member declared interests </w:t>
            </w:r>
          </w:p>
        </w:tc>
        <w:tc>
          <w:tcPr>
            <w:tcW w:w="4379" w:type="dxa"/>
          </w:tcPr>
          <w:p w14:paraId="0033AA4D" w14:textId="04529E38" w:rsidR="007967CA" w:rsidRPr="00C55247" w:rsidRDefault="3921AC95" w:rsidP="00372A82">
            <w:pPr>
              <w:pStyle w:val="bParagraphtext"/>
              <w:numPr>
                <w:ilvl w:val="0"/>
                <w:numId w:val="0"/>
              </w:numPr>
              <w:rPr>
                <w:rFonts w:cs="Arial"/>
                <w:color w:val="auto"/>
              </w:rPr>
            </w:pPr>
            <w:r w:rsidRPr="62EB730E">
              <w:rPr>
                <w:rFonts w:cs="Arial"/>
                <w:color w:val="auto"/>
              </w:rPr>
              <w:t>N/A</w:t>
            </w:r>
          </w:p>
        </w:tc>
        <w:tc>
          <w:tcPr>
            <w:tcW w:w="3026" w:type="dxa"/>
          </w:tcPr>
          <w:p w14:paraId="7424BC62" w14:textId="77777777" w:rsidR="007967CA" w:rsidRPr="00C55247" w:rsidRDefault="007967CA" w:rsidP="007967CA">
            <w:pPr>
              <w:pStyle w:val="Bulletpoints"/>
              <w:numPr>
                <w:ilvl w:val="0"/>
                <w:numId w:val="0"/>
              </w:numPr>
              <w:rPr>
                <w:rFonts w:cs="Arial"/>
                <w:b/>
                <w:color w:val="auto"/>
              </w:rPr>
            </w:pPr>
            <w:r w:rsidRPr="00C55247">
              <w:rPr>
                <w:rFonts w:cs="Arial"/>
                <w:b/>
                <w:color w:val="auto"/>
              </w:rPr>
              <w:t>Completed by:</w:t>
            </w:r>
          </w:p>
          <w:p w14:paraId="405BF3DD" w14:textId="77777777" w:rsidR="007967CA" w:rsidRPr="00C55247" w:rsidRDefault="007967CA" w:rsidP="007967CA">
            <w:pPr>
              <w:pStyle w:val="Bulletpoints"/>
              <w:numPr>
                <w:ilvl w:val="0"/>
                <w:numId w:val="0"/>
              </w:numPr>
              <w:rPr>
                <w:rFonts w:cs="Arial"/>
                <w:color w:val="auto"/>
              </w:rPr>
            </w:pPr>
            <w:r w:rsidRPr="00C55247">
              <w:rPr>
                <w:rFonts w:cs="Arial"/>
                <w:color w:val="auto"/>
              </w:rPr>
              <w:t>Insert name and job title</w:t>
            </w:r>
          </w:p>
          <w:p w14:paraId="22A72D4B" w14:textId="77777777" w:rsidR="007967CA" w:rsidRPr="00C55247" w:rsidRDefault="007967CA" w:rsidP="007967CA">
            <w:pPr>
              <w:pStyle w:val="Bulletpoints"/>
              <w:numPr>
                <w:ilvl w:val="0"/>
                <w:numId w:val="0"/>
              </w:numPr>
              <w:rPr>
                <w:rFonts w:cs="Arial"/>
                <w:b/>
                <w:color w:val="auto"/>
              </w:rPr>
            </w:pPr>
            <w:r w:rsidRPr="00C55247">
              <w:rPr>
                <w:rFonts w:cs="Arial"/>
                <w:b/>
                <w:color w:val="auto"/>
              </w:rPr>
              <w:t>Date:</w:t>
            </w:r>
          </w:p>
          <w:p w14:paraId="5918EBBE" w14:textId="02815F15" w:rsidR="007967CA" w:rsidRPr="00C55247" w:rsidRDefault="007967CA" w:rsidP="007967CA">
            <w:pPr>
              <w:pStyle w:val="Bulletpoints"/>
              <w:numPr>
                <w:ilvl w:val="0"/>
                <w:numId w:val="0"/>
              </w:numPr>
              <w:rPr>
                <w:rFonts w:cs="Arial"/>
                <w:b/>
                <w:color w:val="auto"/>
              </w:rPr>
            </w:pPr>
            <w:r w:rsidRPr="00C55247">
              <w:rPr>
                <w:rFonts w:cs="Arial"/>
                <w:color w:val="auto"/>
              </w:rPr>
              <w:t>Insert date</w:t>
            </w:r>
          </w:p>
        </w:tc>
      </w:tr>
    </w:tbl>
    <w:p w14:paraId="7891D21B" w14:textId="78C294AB" w:rsidR="00FB3B71" w:rsidRPr="003E4C33" w:rsidRDefault="00FB3B71" w:rsidP="00074EA2">
      <w:pPr>
        <w:pStyle w:val="bParagraphtext"/>
        <w:numPr>
          <w:ilvl w:val="0"/>
          <w:numId w:val="0"/>
        </w:numPr>
        <w:rPr>
          <w:rFonts w:cs="Arial"/>
          <w:b/>
        </w:rPr>
      </w:pPr>
    </w:p>
    <w:p w14:paraId="5BCE4DEB" w14:textId="02514305" w:rsidR="006C767F" w:rsidRPr="003E4C33" w:rsidRDefault="006C767F" w:rsidP="00074EA2">
      <w:pPr>
        <w:pStyle w:val="bParagraphtext"/>
        <w:numPr>
          <w:ilvl w:val="0"/>
          <w:numId w:val="0"/>
        </w:numPr>
        <w:rPr>
          <w:rFonts w:cs="Arial"/>
        </w:rPr>
      </w:pPr>
    </w:p>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tcPr>
          <w:p w14:paraId="10A18498" w14:textId="13D7D7B9" w:rsidR="00E87F7A" w:rsidRPr="003E4C33" w:rsidRDefault="002250AA" w:rsidP="00A46E98">
            <w:pPr>
              <w:rPr>
                <w:rFonts w:cs="Arial"/>
              </w:rPr>
            </w:pPr>
            <w:r>
              <w:rPr>
                <w:rFonts w:cs="Arial"/>
              </w:rPr>
              <w:t>Richard Wood</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tcPr>
          <w:p w14:paraId="4290E9E4" w14:textId="49F2F103" w:rsidR="00E87F7A" w:rsidRPr="00C55247" w:rsidRDefault="00C77944" w:rsidP="00A46E98">
            <w:pPr>
              <w:rPr>
                <w:rFonts w:cs="Arial"/>
                <w:color w:val="auto"/>
              </w:rPr>
            </w:pPr>
            <w:r>
              <w:rPr>
                <w:rFonts w:cs="Arial"/>
                <w:color w:val="auto"/>
              </w:rPr>
              <w:t>Housing Strategy and Needs Manager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tcPr>
          <w:p w14:paraId="64678455" w14:textId="7E9AE0F6" w:rsidR="00E87F7A" w:rsidRPr="00C55247" w:rsidRDefault="00C77944" w:rsidP="00A46E98">
            <w:pPr>
              <w:rPr>
                <w:rFonts w:cs="Arial"/>
                <w:color w:val="auto"/>
              </w:rPr>
            </w:pPr>
            <w:r>
              <w:rPr>
                <w:rFonts w:cs="Arial"/>
                <w:color w:val="auto"/>
              </w:rPr>
              <w:t>Housing Services</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tcPr>
          <w:p w14:paraId="217B4852" w14:textId="067D7B5F" w:rsidR="00E87F7A" w:rsidRPr="00C55247" w:rsidRDefault="00C77944" w:rsidP="00A46E98">
            <w:pPr>
              <w:rPr>
                <w:rStyle w:val="Hyperlink"/>
                <w:rFonts w:cs="Arial"/>
                <w:color w:val="auto"/>
              </w:rPr>
            </w:pPr>
            <w:r>
              <w:t>rwood@oxford.gov.uk</w:t>
            </w:r>
          </w:p>
        </w:tc>
      </w:tr>
    </w:tbl>
    <w:p w14:paraId="30F6D8FE" w14:textId="77777777" w:rsidR="00433B96" w:rsidRDefault="00433B96" w:rsidP="004A6D2F">
      <w:pPr>
        <w:rPr>
          <w:rFonts w:cs="Arial"/>
        </w:rPr>
      </w:pPr>
    </w:p>
    <w:p w14:paraId="5EF257C0" w14:textId="77777777" w:rsidR="00194E01" w:rsidRPr="003E4C33" w:rsidRDefault="00194E01"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6"/>
        <w:gridCol w:w="1417"/>
      </w:tblGrid>
      <w:tr w:rsidR="001A1BA1" w:rsidRPr="003E4C33" w14:paraId="55292CC4" w14:textId="77777777" w:rsidTr="62EB730E">
        <w:trPr>
          <w:trHeight w:val="516"/>
        </w:trPr>
        <w:tc>
          <w:tcPr>
            <w:tcW w:w="3119" w:type="dxa"/>
          </w:tcPr>
          <w:p w14:paraId="423E2C51" w14:textId="77777777" w:rsidR="001A1BA1" w:rsidRPr="003E4C33" w:rsidRDefault="001A1BA1" w:rsidP="00074EA2">
            <w:pPr>
              <w:spacing w:before="120"/>
              <w:rPr>
                <w:b/>
                <w:i/>
              </w:rPr>
            </w:pPr>
            <w:r w:rsidRPr="003E4C33">
              <w:rPr>
                <w:b/>
                <w:i/>
              </w:rPr>
              <w:t>Consultees</w:t>
            </w:r>
          </w:p>
        </w:tc>
        <w:tc>
          <w:tcPr>
            <w:tcW w:w="4536" w:type="dxa"/>
            <w:vAlign w:val="center"/>
          </w:tcPr>
          <w:p w14:paraId="66370075" w14:textId="77777777" w:rsidR="001A1BA1" w:rsidRPr="003E4C33" w:rsidRDefault="001A1BA1" w:rsidP="00074EA2">
            <w:pPr>
              <w:rPr>
                <w:b/>
                <w:i/>
              </w:rPr>
            </w:pPr>
            <w:r w:rsidRPr="003E4C33">
              <w:rPr>
                <w:b/>
                <w:i/>
              </w:rPr>
              <w:t>Name and job title</w:t>
            </w:r>
          </w:p>
        </w:tc>
        <w:tc>
          <w:tcPr>
            <w:tcW w:w="1417" w:type="dxa"/>
            <w:vAlign w:val="center"/>
          </w:tcPr>
          <w:p w14:paraId="67196AF5" w14:textId="77777777" w:rsidR="001A1BA1" w:rsidRPr="003E4C33" w:rsidRDefault="001A1BA1" w:rsidP="00074EA2">
            <w:pPr>
              <w:rPr>
                <w:b/>
                <w:i/>
              </w:rPr>
            </w:pPr>
            <w:r w:rsidRPr="003E4C33">
              <w:rPr>
                <w:b/>
                <w:i/>
              </w:rPr>
              <w:t xml:space="preserve">Date </w:t>
            </w:r>
          </w:p>
        </w:tc>
      </w:tr>
      <w:tr w:rsidR="001A1BA1" w:rsidRPr="003E4C33" w14:paraId="5F3F749A" w14:textId="77777777" w:rsidTr="62EB730E">
        <w:trPr>
          <w:trHeight w:val="516"/>
        </w:trPr>
        <w:tc>
          <w:tcPr>
            <w:tcW w:w="3119" w:type="dxa"/>
            <w:vAlign w:val="center"/>
          </w:tcPr>
          <w:p w14:paraId="27A74D65" w14:textId="77777777" w:rsidR="001A1BA1" w:rsidRPr="003E4C33" w:rsidRDefault="001A1BA1" w:rsidP="00074EA2">
            <w:pPr>
              <w:spacing w:before="120"/>
              <w:rPr>
                <w:b/>
              </w:rPr>
            </w:pPr>
            <w:r w:rsidRPr="003E4C33">
              <w:rPr>
                <w:b/>
              </w:rPr>
              <w:t>Senior officer</w:t>
            </w:r>
          </w:p>
          <w:p w14:paraId="5850EEA3" w14:textId="449855D8" w:rsidR="001A1BA1" w:rsidRPr="003E4C33" w:rsidRDefault="001A1BA1" w:rsidP="00074EA2">
            <w:pPr>
              <w:spacing w:before="120"/>
            </w:pPr>
            <w:r>
              <w:t xml:space="preserve">e.g. the relevant service manager / </w:t>
            </w:r>
            <w:r w:rsidR="0055056C">
              <w:t>Director</w:t>
            </w:r>
            <w:r>
              <w:t xml:space="preserve"> where the decision maker is the Chief Executive or </w:t>
            </w:r>
            <w:r w:rsidR="0055056C">
              <w:t>a Deputy Chief Executive</w:t>
            </w:r>
            <w:r>
              <w:t>.</w:t>
            </w:r>
          </w:p>
        </w:tc>
        <w:tc>
          <w:tcPr>
            <w:tcW w:w="4536" w:type="dxa"/>
            <w:vAlign w:val="center"/>
          </w:tcPr>
          <w:p w14:paraId="33DFBFFA" w14:textId="37048134" w:rsidR="001A1BA1" w:rsidRPr="00C55247" w:rsidRDefault="003208D1" w:rsidP="00074EA2">
            <w:pPr>
              <w:rPr>
                <w:color w:val="A6A6A6" w:themeColor="background1" w:themeShade="A6"/>
              </w:rPr>
            </w:pPr>
            <w:r>
              <w:rPr>
                <w:color w:val="auto"/>
              </w:rPr>
              <w:t>N/A</w:t>
            </w:r>
          </w:p>
        </w:tc>
        <w:tc>
          <w:tcPr>
            <w:tcW w:w="1417" w:type="dxa"/>
            <w:vAlign w:val="center"/>
          </w:tcPr>
          <w:p w14:paraId="29D4AEB7" w14:textId="77777777" w:rsidR="001A1BA1" w:rsidRPr="003E4C33" w:rsidRDefault="001A1BA1" w:rsidP="00074EA2"/>
        </w:tc>
      </w:tr>
      <w:tr w:rsidR="001A1BA1" w:rsidRPr="003E4C33" w14:paraId="5B08396D" w14:textId="77777777" w:rsidTr="62EB730E">
        <w:trPr>
          <w:trHeight w:val="1161"/>
        </w:trPr>
        <w:tc>
          <w:tcPr>
            <w:tcW w:w="3119" w:type="dxa"/>
          </w:tcPr>
          <w:p w14:paraId="206914C9" w14:textId="56FA33D0" w:rsidR="001A1BA1" w:rsidRPr="003E4C33" w:rsidRDefault="00D566E2" w:rsidP="00074EA2">
            <w:pPr>
              <w:spacing w:before="120"/>
              <w:rPr>
                <w:b/>
              </w:rPr>
            </w:pPr>
            <w:r>
              <w:rPr>
                <w:b/>
              </w:rPr>
              <w:t>Group Finance Director</w:t>
            </w:r>
          </w:p>
          <w:p w14:paraId="7A4F1884" w14:textId="76E91C55" w:rsidR="001A1BA1" w:rsidRPr="003E4C33" w:rsidRDefault="42DDDBA8" w:rsidP="00074EA2">
            <w:pPr>
              <w:spacing w:before="120"/>
            </w:pPr>
            <w:r w:rsidRPr="003E4C33">
              <w:t>Where required</w:t>
            </w:r>
            <w:r w:rsidR="0AFF6EB2" w:rsidRPr="003E4C33">
              <w:t xml:space="preserve"> by the Constitution or conditions of the delegation</w:t>
            </w:r>
          </w:p>
        </w:tc>
        <w:tc>
          <w:tcPr>
            <w:tcW w:w="4536" w:type="dxa"/>
            <w:vAlign w:val="center"/>
          </w:tcPr>
          <w:p w14:paraId="5F94B2AD" w14:textId="175BFB66" w:rsidR="001A1BA1" w:rsidRPr="003E4C33" w:rsidRDefault="780D135E" w:rsidP="0C29C24B">
            <w:r>
              <w:rPr>
                <w:noProof/>
              </w:rPr>
              <w:drawing>
                <wp:inline distT="0" distB="0" distL="0" distR="0" wp14:anchorId="44C1E238" wp14:editId="6EB2E925">
                  <wp:extent cx="1123810" cy="857143"/>
                  <wp:effectExtent l="0" t="0" r="0" b="0"/>
                  <wp:docPr id="16613420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42069" name="Picture 1661342069"/>
                          <pic:cNvPicPr/>
                        </pic:nvPicPr>
                        <pic:blipFill>
                          <a:blip r:embed="rId12">
                            <a:extLst>
                              <a:ext uri="{28A0092B-C50C-407E-A947-70E740481C1C}">
                                <a14:useLocalDpi xmlns:a14="http://schemas.microsoft.com/office/drawing/2010/main"/>
                              </a:ext>
                            </a:extLst>
                          </a:blip>
                          <a:stretch>
                            <a:fillRect/>
                          </a:stretch>
                        </pic:blipFill>
                        <pic:spPr>
                          <a:xfrm>
                            <a:off x="0" y="0"/>
                            <a:ext cx="1123810" cy="857143"/>
                          </a:xfrm>
                          <a:prstGeom prst="rect">
                            <a:avLst/>
                          </a:prstGeom>
                        </pic:spPr>
                      </pic:pic>
                    </a:graphicData>
                  </a:graphic>
                </wp:inline>
              </w:drawing>
            </w:r>
          </w:p>
          <w:p w14:paraId="476C7451" w14:textId="416E95D2" w:rsidR="001A1BA1" w:rsidRPr="003E4C33" w:rsidRDefault="2E8FB0BC" w:rsidP="00074EA2">
            <w:r>
              <w:t>Nigel Kennedy</w:t>
            </w:r>
          </w:p>
        </w:tc>
        <w:tc>
          <w:tcPr>
            <w:tcW w:w="1417" w:type="dxa"/>
            <w:vAlign w:val="center"/>
          </w:tcPr>
          <w:p w14:paraId="26B724B7" w14:textId="2A7B669B" w:rsidR="001A1BA1" w:rsidRPr="003E4C33" w:rsidRDefault="2E8FB0BC" w:rsidP="00074EA2">
            <w:r>
              <w:t>04/12/25</w:t>
            </w:r>
          </w:p>
        </w:tc>
      </w:tr>
      <w:tr w:rsidR="001A1BA1" w:rsidRPr="003E4C33" w14:paraId="54CB0EFE" w14:textId="77777777" w:rsidTr="003F00CB">
        <w:trPr>
          <w:trHeight w:val="834"/>
        </w:trPr>
        <w:tc>
          <w:tcPr>
            <w:tcW w:w="3119" w:type="dxa"/>
          </w:tcPr>
          <w:p w14:paraId="658FE63C" w14:textId="657649B8" w:rsidR="001A1BA1" w:rsidRPr="003E4C33" w:rsidRDefault="00C56120" w:rsidP="00074EA2">
            <w:pPr>
              <w:spacing w:before="120"/>
              <w:rPr>
                <w:b/>
              </w:rPr>
            </w:pPr>
            <w:r>
              <w:rPr>
                <w:b/>
              </w:rPr>
              <w:t>Director of Law, Governance and Strategy</w:t>
            </w:r>
          </w:p>
          <w:p w14:paraId="5C806B41" w14:textId="50B1676F" w:rsidR="001A1BA1" w:rsidRPr="003E4C33" w:rsidRDefault="42DDDBA8" w:rsidP="00074EA2">
            <w:pPr>
              <w:spacing w:before="120"/>
            </w:pPr>
            <w:r w:rsidRPr="003E4C33">
              <w:t>Where required</w:t>
            </w:r>
            <w:r w:rsidR="00B6369C" w:rsidRPr="003E4C33">
              <w:t xml:space="preserve"> by the Constitution or conditions of the delegation</w:t>
            </w:r>
          </w:p>
        </w:tc>
        <w:tc>
          <w:tcPr>
            <w:tcW w:w="4536" w:type="dxa"/>
            <w:vAlign w:val="center"/>
          </w:tcPr>
          <w:p w14:paraId="459F8630" w14:textId="78473A41" w:rsidR="001A1BA1" w:rsidRPr="003E4C33" w:rsidRDefault="003F00CB" w:rsidP="00074EA2">
            <w:r>
              <w:t>Emma Jackman</w:t>
            </w:r>
          </w:p>
        </w:tc>
        <w:tc>
          <w:tcPr>
            <w:tcW w:w="1417" w:type="dxa"/>
            <w:vAlign w:val="center"/>
          </w:tcPr>
          <w:p w14:paraId="13EBB6A8" w14:textId="12309FD8" w:rsidR="001A1BA1" w:rsidRPr="003E4C33" w:rsidRDefault="003F00CB" w:rsidP="003F00CB">
            <w:r>
              <w:t>05/12/25</w:t>
            </w:r>
          </w:p>
        </w:tc>
      </w:tr>
      <w:tr w:rsidR="001A1BA1" w:rsidRPr="003E4C33" w14:paraId="266E8AC6" w14:textId="77777777" w:rsidTr="62EB730E">
        <w:trPr>
          <w:trHeight w:val="562"/>
        </w:trPr>
        <w:tc>
          <w:tcPr>
            <w:tcW w:w="3119" w:type="dxa"/>
            <w:vAlign w:val="center"/>
          </w:tcPr>
          <w:p w14:paraId="0D0AF673" w14:textId="77777777" w:rsidR="001A1BA1" w:rsidRPr="003E4C33" w:rsidRDefault="001A1BA1" w:rsidP="00074EA2">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536" w:type="dxa"/>
            <w:vAlign w:val="center"/>
          </w:tcPr>
          <w:p w14:paraId="47B4B0BF" w14:textId="3340CDBD" w:rsidR="001A1BA1" w:rsidRPr="003E4C33" w:rsidRDefault="256EB1BA" w:rsidP="00074EA2">
            <w:r>
              <w:t>Received via email, Cllr Linda Smith</w:t>
            </w:r>
          </w:p>
        </w:tc>
        <w:tc>
          <w:tcPr>
            <w:tcW w:w="1417" w:type="dxa"/>
            <w:vAlign w:val="center"/>
          </w:tcPr>
          <w:p w14:paraId="79ED7A02" w14:textId="3A9B1B01" w:rsidR="001A1BA1" w:rsidRPr="003E4C33" w:rsidRDefault="00194E01" w:rsidP="00074EA2">
            <w:r>
              <w:t>0</w:t>
            </w:r>
            <w:r w:rsidR="256EB1BA">
              <w:t>3/12/25</w:t>
            </w:r>
          </w:p>
        </w:tc>
      </w:tr>
      <w:tr w:rsidR="001A1BA1" w:rsidRPr="003E4C33" w14:paraId="789A1406" w14:textId="77777777" w:rsidTr="62EB730E">
        <w:trPr>
          <w:trHeight w:val="562"/>
        </w:trPr>
        <w:tc>
          <w:tcPr>
            <w:tcW w:w="3119" w:type="dxa"/>
            <w:vAlign w:val="center"/>
          </w:tcPr>
          <w:p w14:paraId="79CEA511" w14:textId="77777777" w:rsidR="001A1BA1" w:rsidRPr="003E4C33" w:rsidRDefault="001A1BA1" w:rsidP="00074EA2">
            <w:pPr>
              <w:spacing w:before="120"/>
              <w:rPr>
                <w:b/>
              </w:rPr>
            </w:pPr>
            <w:r w:rsidRPr="003E4C33">
              <w:rPr>
                <w:b/>
              </w:rPr>
              <w:t>Ward Members</w:t>
            </w:r>
          </w:p>
          <w:p w14:paraId="079F86E6" w14:textId="03792320" w:rsidR="001A1BA1" w:rsidRPr="003E4C33" w:rsidRDefault="42DDDBA8" w:rsidP="00074EA2">
            <w:pPr>
              <w:spacing w:before="120"/>
            </w:pPr>
            <w:r w:rsidRPr="003E4C33">
              <w:t>Where required</w:t>
            </w:r>
            <w:r w:rsidR="2187760D" w:rsidRPr="003E4C33">
              <w:t xml:space="preserve"> by the Constitution or conditions of the delegation</w:t>
            </w:r>
          </w:p>
        </w:tc>
        <w:tc>
          <w:tcPr>
            <w:tcW w:w="4536" w:type="dxa"/>
            <w:vAlign w:val="center"/>
          </w:tcPr>
          <w:p w14:paraId="0E06D3A4" w14:textId="4073A3E9" w:rsidR="001A1BA1" w:rsidRPr="003E4C33" w:rsidRDefault="002250AA" w:rsidP="00074EA2">
            <w:r>
              <w:t>N/A</w:t>
            </w:r>
          </w:p>
        </w:tc>
        <w:tc>
          <w:tcPr>
            <w:tcW w:w="1417" w:type="dxa"/>
            <w:vAlign w:val="center"/>
          </w:tcPr>
          <w:p w14:paraId="36F1E2E4" w14:textId="77777777" w:rsidR="001A1BA1" w:rsidRPr="003E4C33" w:rsidRDefault="001A1BA1" w:rsidP="00074EA2"/>
        </w:tc>
      </w:tr>
    </w:tbl>
    <w:p w14:paraId="7DAF2BCF" w14:textId="2CC66BA6" w:rsidR="004456DD" w:rsidRDefault="004456DD" w:rsidP="0BC4DFF5">
      <w:pPr>
        <w:rPr>
          <w:rFonts w:cs="Arial"/>
          <w:b/>
          <w:bCs/>
        </w:rPr>
      </w:pPr>
    </w:p>
    <w:p w14:paraId="40933E10" w14:textId="77777777" w:rsidR="00194E01" w:rsidRPr="003E4C33" w:rsidRDefault="00194E01" w:rsidP="0BC4DFF5">
      <w:pPr>
        <w:rPr>
          <w:rFonts w:cs="Arial"/>
          <w:b/>
          <w:bCs/>
        </w:rPr>
      </w:pPr>
    </w:p>
    <w:p w14:paraId="49FF2A28" w14:textId="58C64575" w:rsidR="004456DD" w:rsidRPr="003E4C33" w:rsidRDefault="2B7BAFE9" w:rsidP="0BC4DFF5">
      <w:pPr>
        <w:rPr>
          <w:rFonts w:cs="Arial"/>
          <w:b/>
          <w:bCs/>
        </w:rPr>
      </w:pPr>
      <w:r w:rsidRPr="003E4C33">
        <w:rPr>
          <w:rFonts w:cs="Arial"/>
          <w:b/>
          <w:bCs/>
        </w:rPr>
        <w:lastRenderedPageBreak/>
        <w:t>Decision Maker Approval</w:t>
      </w:r>
    </w:p>
    <w:tbl>
      <w:tblPr>
        <w:tblStyle w:val="TableGrid1"/>
        <w:tblW w:w="0" w:type="auto"/>
        <w:tblInd w:w="137" w:type="dxa"/>
        <w:tblLook w:val="04A0" w:firstRow="1" w:lastRow="0" w:firstColumn="1" w:lastColumn="0" w:noHBand="0" w:noVBand="1"/>
      </w:tblPr>
      <w:tblGrid>
        <w:gridCol w:w="5103"/>
        <w:gridCol w:w="1417"/>
      </w:tblGrid>
      <w:tr w:rsidR="0BC4DFF5" w:rsidRPr="003E4C33" w14:paraId="56628C58" w14:textId="77777777" w:rsidTr="62EB730E">
        <w:trPr>
          <w:trHeight w:val="300"/>
        </w:trPr>
        <w:tc>
          <w:tcPr>
            <w:tcW w:w="5103" w:type="dxa"/>
            <w:vAlign w:val="center"/>
          </w:tcPr>
          <w:p w14:paraId="0E828CBD" w14:textId="77777777" w:rsidR="0BC4DFF5" w:rsidRPr="003E4C33" w:rsidRDefault="0BC4DFF5" w:rsidP="0BC4DFF5">
            <w:pPr>
              <w:rPr>
                <w:b/>
                <w:bCs/>
                <w:i/>
                <w:iCs/>
              </w:rPr>
            </w:pPr>
            <w:r w:rsidRPr="003E4C33">
              <w:rPr>
                <w:b/>
                <w:bCs/>
                <w:i/>
                <w:iCs/>
              </w:rPr>
              <w:t>Name and job title</w:t>
            </w:r>
          </w:p>
        </w:tc>
        <w:tc>
          <w:tcPr>
            <w:tcW w:w="1417"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62EB730E">
        <w:trPr>
          <w:trHeight w:val="300"/>
        </w:trPr>
        <w:tc>
          <w:tcPr>
            <w:tcW w:w="5103" w:type="dxa"/>
            <w:vAlign w:val="center"/>
          </w:tcPr>
          <w:p w14:paraId="249841EC" w14:textId="21479505" w:rsidR="0BC4DFF5" w:rsidRPr="00C55247" w:rsidRDefault="0BC4DFF5">
            <w:r w:rsidRPr="00C55247">
              <w:rPr>
                <w:color w:val="auto"/>
              </w:rPr>
              <w:t>The officer with authority to take the decision, either from a Cabinet delegation or in the Constitution.</w:t>
            </w:r>
          </w:p>
        </w:tc>
        <w:tc>
          <w:tcPr>
            <w:tcW w:w="1417" w:type="dxa"/>
            <w:vAlign w:val="center"/>
          </w:tcPr>
          <w:p w14:paraId="32E398AB" w14:textId="26A5A2FC" w:rsidR="00CB7A4F" w:rsidRPr="003E4C33" w:rsidRDefault="08E827FF">
            <w:r>
              <w:t>8/12/2025</w:t>
            </w:r>
          </w:p>
        </w:tc>
      </w:tr>
    </w:tbl>
    <w:p w14:paraId="5D0123A9" w14:textId="77777777" w:rsidR="001A1BA1" w:rsidRPr="003E4C33" w:rsidRDefault="001A1BA1" w:rsidP="0093067A">
      <w:pPr>
        <w:rPr>
          <w:rFonts w:cs="Arial"/>
        </w:rPr>
      </w:pPr>
    </w:p>
    <w:p w14:paraId="51E1354B" w14:textId="51A32FE4" w:rsidR="001A1BA1" w:rsidRPr="003E4C33" w:rsidRDefault="001A1BA1" w:rsidP="0BC4DFF5">
      <w:pPr>
        <w:rPr>
          <w:rFonts w:cs="Arial"/>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003E4C33">
        <w:rPr>
          <w:rFonts w:cs="Arial"/>
          <w:b/>
          <w:bCs/>
        </w:rPr>
        <w:t>call in</w:t>
      </w:r>
      <w:proofErr w:type="gramEnd"/>
      <w:r w:rsidR="7126238E" w:rsidRPr="003E4C33">
        <w:rPr>
          <w:rFonts w:cs="Arial"/>
          <w:b/>
          <w:bCs/>
        </w:rPr>
        <w:t xml:space="preserve"> period has passed. </w:t>
      </w:r>
    </w:p>
    <w:sectPr w:rsidR="001A1BA1" w:rsidRPr="003E4C33" w:rsidSect="002B6836">
      <w:headerReference w:type="even" r:id="rId13"/>
      <w:headerReference w:type="default" r:id="rId14"/>
      <w:footerReference w:type="even" r:id="rId15"/>
      <w:footerReference w:type="default" r:id="rId16"/>
      <w:headerReference w:type="first" r:id="rId17"/>
      <w:footerReference w:type="first" r:id="rId18"/>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5BE6" w14:textId="77777777" w:rsidR="000C35F6" w:rsidRDefault="000C35F6" w:rsidP="004A6D2F">
      <w:r>
        <w:separator/>
      </w:r>
    </w:p>
  </w:endnote>
  <w:endnote w:type="continuationSeparator" w:id="0">
    <w:p w14:paraId="51EF02FA" w14:textId="77777777" w:rsidR="000C35F6" w:rsidRDefault="000C35F6" w:rsidP="004A6D2F">
      <w:r>
        <w:continuationSeparator/>
      </w:r>
    </w:p>
  </w:endnote>
  <w:endnote w:type="continuationNotice" w:id="1">
    <w:p w14:paraId="4E0B1965" w14:textId="77777777" w:rsidR="003428CF" w:rsidRDefault="003428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452A" w14:textId="0467CAC3" w:rsidR="005B064B" w:rsidRPr="005B064B" w:rsidRDefault="001A1BA1" w:rsidP="005B064B">
    <w:pPr>
      <w:pStyle w:val="Footer"/>
      <w:jc w:val="center"/>
      <w:rPr>
        <w:rFonts w:cs="Arial"/>
        <w:b/>
        <w:sz w:val="24"/>
      </w:rPr>
    </w:pPr>
    <w:r w:rsidRPr="001A1BA1">
      <w:rPr>
        <w:rFonts w:cs="Arial"/>
        <w:b/>
        <w:sz w:val="24"/>
      </w:rPr>
      <w:t xml:space="preserve">Please send the completed form to </w:t>
    </w:r>
    <w:hyperlink r:id="rId1" w:history="1">
      <w:r w:rsidR="005B064B" w:rsidRPr="00936544">
        <w:rPr>
          <w:rStyle w:val="Hyperlink"/>
          <w:rFonts w:cs="Arial"/>
          <w:b/>
        </w:rPr>
        <w:t>acforwardplan@oxford.gov.uk</w:t>
      </w:r>
    </w:hyperlink>
    <w:r w:rsidR="005B064B" w:rsidRPr="005B064B">
      <w:rPr>
        <w:rFonts w:cs="Arial"/>
        <w:b/>
        <w:color w:val="0000FF"/>
        <w:sz w:val="24"/>
        <w:u w:val="single"/>
      </w:rPr>
      <w:t xml:space="preserve"> </w:t>
    </w:r>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212E" w14:textId="77777777" w:rsidR="000C35F6" w:rsidRDefault="000C35F6" w:rsidP="004A6D2F">
      <w:r>
        <w:separator/>
      </w:r>
    </w:p>
  </w:footnote>
  <w:footnote w:type="continuationSeparator" w:id="0">
    <w:p w14:paraId="4AFA973C" w14:textId="77777777" w:rsidR="000C35F6" w:rsidRDefault="000C35F6" w:rsidP="004A6D2F">
      <w:r>
        <w:continuationSeparator/>
      </w:r>
    </w:p>
  </w:footnote>
  <w:footnote w:type="continuationNotice" w:id="1">
    <w:p w14:paraId="148D5C3C" w14:textId="77777777" w:rsidR="003428CF" w:rsidRDefault="003428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E0A0" w14:textId="77777777" w:rsidR="005B064B" w:rsidRDefault="005B0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152B2"/>
    <w:multiLevelType w:val="hybridMultilevel"/>
    <w:tmpl w:val="9BBCF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BA5FD8"/>
    <w:multiLevelType w:val="multilevel"/>
    <w:tmpl w:val="43D6D2FA"/>
    <w:numStyleLink w:val="StyleBulletedSymbolsymbolLeft063cmHanging063cm"/>
  </w:abstractNum>
  <w:abstractNum w:abstractNumId="35"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A22831"/>
    <w:multiLevelType w:val="multilevel"/>
    <w:tmpl w:val="43D6D2FA"/>
    <w:numStyleLink w:val="StyleBulletedSymbolsymbolLeft063cmHanging063cm"/>
  </w:abstractNum>
  <w:abstractNum w:abstractNumId="37"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365C6"/>
    <w:multiLevelType w:val="multilevel"/>
    <w:tmpl w:val="E67CE66C"/>
    <w:numStyleLink w:val="StyleNumberedLeft0cmHanging075cm"/>
  </w:abstractNum>
  <w:abstractNum w:abstractNumId="44"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7"/>
  </w:num>
  <w:num w:numId="2" w16cid:durableId="295525028">
    <w:abstractNumId w:val="16"/>
  </w:num>
  <w:num w:numId="3" w16cid:durableId="449398042">
    <w:abstractNumId w:val="33"/>
  </w:num>
  <w:num w:numId="4" w16cid:durableId="155997720">
    <w:abstractNumId w:val="39"/>
  </w:num>
  <w:num w:numId="5" w16cid:durableId="684749378">
    <w:abstractNumId w:val="28"/>
  </w:num>
  <w:num w:numId="6" w16cid:durableId="432477665">
    <w:abstractNumId w:val="21"/>
  </w:num>
  <w:num w:numId="7" w16cid:durableId="1168204831">
    <w:abstractNumId w:val="35"/>
  </w:num>
  <w:num w:numId="8" w16cid:durableId="155805248">
    <w:abstractNumId w:val="41"/>
  </w:num>
  <w:num w:numId="9" w16cid:durableId="1582835092">
    <w:abstractNumId w:val="27"/>
  </w:num>
  <w:num w:numId="10" w16cid:durableId="1896813794">
    <w:abstractNumId w:val="23"/>
  </w:num>
  <w:num w:numId="11" w16cid:durableId="1223564051">
    <w:abstractNumId w:val="14"/>
  </w:num>
  <w:num w:numId="12" w16cid:durableId="1616984022">
    <w:abstractNumId w:val="18"/>
  </w:num>
  <w:num w:numId="13" w16cid:durableId="611942354">
    <w:abstractNumId w:val="30"/>
  </w:num>
  <w:num w:numId="14" w16cid:durableId="48847933">
    <w:abstractNumId w:val="29"/>
  </w:num>
  <w:num w:numId="15" w16cid:durableId="1594360626">
    <w:abstractNumId w:val="11"/>
  </w:num>
  <w:num w:numId="16" w16cid:durableId="806975598">
    <w:abstractNumId w:val="43"/>
  </w:num>
  <w:num w:numId="17" w16cid:durableId="1143692141">
    <w:abstractNumId w:val="19"/>
  </w:num>
  <w:num w:numId="18" w16cid:durableId="290284048">
    <w:abstractNumId w:val="12"/>
  </w:num>
  <w:num w:numId="19" w16cid:durableId="346717609">
    <w:abstractNumId w:val="34"/>
  </w:num>
  <w:num w:numId="20" w16cid:durableId="490602500">
    <w:abstractNumId w:val="13"/>
  </w:num>
  <w:num w:numId="21" w16cid:durableId="1664510238">
    <w:abstractNumId w:val="36"/>
  </w:num>
  <w:num w:numId="22" w16cid:durableId="1264797914">
    <w:abstractNumId w:val="20"/>
  </w:num>
  <w:num w:numId="23" w16cid:durableId="1892495712">
    <w:abstractNumId w:val="24"/>
  </w:num>
  <w:num w:numId="24" w16cid:durableId="1551064890">
    <w:abstractNumId w:val="15"/>
  </w:num>
  <w:num w:numId="25" w16cid:durableId="637807967">
    <w:abstractNumId w:val="38"/>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1"/>
  </w:num>
  <w:num w:numId="37" w16cid:durableId="840047793">
    <w:abstractNumId w:val="32"/>
  </w:num>
  <w:num w:numId="38" w16cid:durableId="1263950813">
    <w:abstractNumId w:val="42"/>
  </w:num>
  <w:num w:numId="39" w16cid:durableId="327559103">
    <w:abstractNumId w:val="10"/>
  </w:num>
  <w:num w:numId="40" w16cid:durableId="1311447890">
    <w:abstractNumId w:val="44"/>
  </w:num>
  <w:num w:numId="41" w16cid:durableId="1370304610">
    <w:abstractNumId w:val="40"/>
  </w:num>
  <w:num w:numId="42" w16cid:durableId="1152941978">
    <w:abstractNumId w:val="22"/>
  </w:num>
  <w:num w:numId="43" w16cid:durableId="491873441">
    <w:abstractNumId w:val="25"/>
  </w:num>
  <w:num w:numId="44" w16cid:durableId="2006741231">
    <w:abstractNumId w:val="26"/>
  </w:num>
  <w:num w:numId="45" w16cid:durableId="473832940">
    <w:abstractNumId w:val="17"/>
  </w:num>
  <w:num w:numId="46" w16cid:durableId="5029391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06A65"/>
    <w:rsid w:val="000117D4"/>
    <w:rsid w:val="0001511A"/>
    <w:rsid w:val="00020699"/>
    <w:rsid w:val="000314D7"/>
    <w:rsid w:val="00034054"/>
    <w:rsid w:val="000430D3"/>
    <w:rsid w:val="00045F8B"/>
    <w:rsid w:val="00046D2B"/>
    <w:rsid w:val="00056263"/>
    <w:rsid w:val="00064D8A"/>
    <w:rsid w:val="00064F82"/>
    <w:rsid w:val="00066510"/>
    <w:rsid w:val="00074EA2"/>
    <w:rsid w:val="00077523"/>
    <w:rsid w:val="0008425C"/>
    <w:rsid w:val="00094D02"/>
    <w:rsid w:val="000B1DFC"/>
    <w:rsid w:val="000C089F"/>
    <w:rsid w:val="000C260D"/>
    <w:rsid w:val="000C35F6"/>
    <w:rsid w:val="000C3928"/>
    <w:rsid w:val="000C51D6"/>
    <w:rsid w:val="000C5E8E"/>
    <w:rsid w:val="000E38A3"/>
    <w:rsid w:val="000F3878"/>
    <w:rsid w:val="000F4751"/>
    <w:rsid w:val="0010524C"/>
    <w:rsid w:val="00111FB1"/>
    <w:rsid w:val="00113418"/>
    <w:rsid w:val="00117C1C"/>
    <w:rsid w:val="00124E5C"/>
    <w:rsid w:val="001356F1"/>
    <w:rsid w:val="00136994"/>
    <w:rsid w:val="001408A2"/>
    <w:rsid w:val="0014128E"/>
    <w:rsid w:val="00151888"/>
    <w:rsid w:val="00170A2D"/>
    <w:rsid w:val="001808BC"/>
    <w:rsid w:val="00182B81"/>
    <w:rsid w:val="0018619D"/>
    <w:rsid w:val="00190ECD"/>
    <w:rsid w:val="00194E01"/>
    <w:rsid w:val="001A011E"/>
    <w:rsid w:val="001A066A"/>
    <w:rsid w:val="001A13E6"/>
    <w:rsid w:val="001A1BA1"/>
    <w:rsid w:val="001A5731"/>
    <w:rsid w:val="001B42C3"/>
    <w:rsid w:val="001C5D5E"/>
    <w:rsid w:val="001C7C2E"/>
    <w:rsid w:val="001D678D"/>
    <w:rsid w:val="001E03F8"/>
    <w:rsid w:val="001E1678"/>
    <w:rsid w:val="001E3376"/>
    <w:rsid w:val="002069B3"/>
    <w:rsid w:val="002069DE"/>
    <w:rsid w:val="002169C0"/>
    <w:rsid w:val="002250AA"/>
    <w:rsid w:val="002257A8"/>
    <w:rsid w:val="00226F8A"/>
    <w:rsid w:val="002329CF"/>
    <w:rsid w:val="00232F5B"/>
    <w:rsid w:val="00241830"/>
    <w:rsid w:val="00247C29"/>
    <w:rsid w:val="00260467"/>
    <w:rsid w:val="00263EA3"/>
    <w:rsid w:val="002741FC"/>
    <w:rsid w:val="00284F85"/>
    <w:rsid w:val="002870C3"/>
    <w:rsid w:val="00290915"/>
    <w:rsid w:val="002A22E2"/>
    <w:rsid w:val="002B46A9"/>
    <w:rsid w:val="002B6836"/>
    <w:rsid w:val="002C64F7"/>
    <w:rsid w:val="002D084B"/>
    <w:rsid w:val="002F41F2"/>
    <w:rsid w:val="00301BF3"/>
    <w:rsid w:val="0030208D"/>
    <w:rsid w:val="003208D1"/>
    <w:rsid w:val="00323418"/>
    <w:rsid w:val="003273FD"/>
    <w:rsid w:val="00330481"/>
    <w:rsid w:val="0033565F"/>
    <w:rsid w:val="003357BF"/>
    <w:rsid w:val="00340B77"/>
    <w:rsid w:val="003428CF"/>
    <w:rsid w:val="00354567"/>
    <w:rsid w:val="00364FAD"/>
    <w:rsid w:val="0036738F"/>
    <w:rsid w:val="0036759C"/>
    <w:rsid w:val="00367AE5"/>
    <w:rsid w:val="00367D71"/>
    <w:rsid w:val="00372A82"/>
    <w:rsid w:val="0038150A"/>
    <w:rsid w:val="003B6E75"/>
    <w:rsid w:val="003B7DA1"/>
    <w:rsid w:val="003D0379"/>
    <w:rsid w:val="003D2574"/>
    <w:rsid w:val="003D4C59"/>
    <w:rsid w:val="003E4C33"/>
    <w:rsid w:val="003F00CB"/>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37B"/>
    <w:rsid w:val="0049044C"/>
    <w:rsid w:val="00491046"/>
    <w:rsid w:val="00496078"/>
    <w:rsid w:val="004A0B1C"/>
    <w:rsid w:val="004A2AC7"/>
    <w:rsid w:val="004A39C3"/>
    <w:rsid w:val="004A6D2F"/>
    <w:rsid w:val="004B11AE"/>
    <w:rsid w:val="004C2887"/>
    <w:rsid w:val="004D2626"/>
    <w:rsid w:val="004D6E26"/>
    <w:rsid w:val="004D77D3"/>
    <w:rsid w:val="004E2959"/>
    <w:rsid w:val="004F20EF"/>
    <w:rsid w:val="004F4B9B"/>
    <w:rsid w:val="004F554F"/>
    <w:rsid w:val="0050321C"/>
    <w:rsid w:val="00507ECC"/>
    <w:rsid w:val="00512370"/>
    <w:rsid w:val="00523261"/>
    <w:rsid w:val="00531E16"/>
    <w:rsid w:val="0054712D"/>
    <w:rsid w:val="00547EF6"/>
    <w:rsid w:val="0055056C"/>
    <w:rsid w:val="005570B5"/>
    <w:rsid w:val="00566DCF"/>
    <w:rsid w:val="00567E18"/>
    <w:rsid w:val="00575F5F"/>
    <w:rsid w:val="00576CD0"/>
    <w:rsid w:val="00581805"/>
    <w:rsid w:val="00585F76"/>
    <w:rsid w:val="005A34E4"/>
    <w:rsid w:val="005A6610"/>
    <w:rsid w:val="005B064B"/>
    <w:rsid w:val="005B1486"/>
    <w:rsid w:val="005B17F2"/>
    <w:rsid w:val="005B7A22"/>
    <w:rsid w:val="005B7FB0"/>
    <w:rsid w:val="005C35A5"/>
    <w:rsid w:val="005C577C"/>
    <w:rsid w:val="005D0621"/>
    <w:rsid w:val="005D1E27"/>
    <w:rsid w:val="005D2A3E"/>
    <w:rsid w:val="005D347D"/>
    <w:rsid w:val="005E022E"/>
    <w:rsid w:val="005E1EA8"/>
    <w:rsid w:val="005E2B45"/>
    <w:rsid w:val="005E5215"/>
    <w:rsid w:val="005F059B"/>
    <w:rsid w:val="005F7F7E"/>
    <w:rsid w:val="00613072"/>
    <w:rsid w:val="00614693"/>
    <w:rsid w:val="00622741"/>
    <w:rsid w:val="00623C2F"/>
    <w:rsid w:val="00630829"/>
    <w:rsid w:val="00633578"/>
    <w:rsid w:val="0063408C"/>
    <w:rsid w:val="00635E3E"/>
    <w:rsid w:val="00637068"/>
    <w:rsid w:val="006419CA"/>
    <w:rsid w:val="00650811"/>
    <w:rsid w:val="006525EB"/>
    <w:rsid w:val="0066043E"/>
    <w:rsid w:val="00661D3E"/>
    <w:rsid w:val="00692627"/>
    <w:rsid w:val="006969E7"/>
    <w:rsid w:val="006A3643"/>
    <w:rsid w:val="006B10C2"/>
    <w:rsid w:val="006B2DE1"/>
    <w:rsid w:val="006B53CC"/>
    <w:rsid w:val="006C26E8"/>
    <w:rsid w:val="006C2A29"/>
    <w:rsid w:val="006C4EB8"/>
    <w:rsid w:val="006C64CF"/>
    <w:rsid w:val="006C767F"/>
    <w:rsid w:val="006C7D2E"/>
    <w:rsid w:val="006D11F1"/>
    <w:rsid w:val="006D17B1"/>
    <w:rsid w:val="006D309B"/>
    <w:rsid w:val="006D4752"/>
    <w:rsid w:val="006D708A"/>
    <w:rsid w:val="006E14C1"/>
    <w:rsid w:val="006E1FA1"/>
    <w:rsid w:val="006E614E"/>
    <w:rsid w:val="006F0292"/>
    <w:rsid w:val="006F27FA"/>
    <w:rsid w:val="006F416B"/>
    <w:rsid w:val="006F519B"/>
    <w:rsid w:val="00713675"/>
    <w:rsid w:val="00715823"/>
    <w:rsid w:val="007253EF"/>
    <w:rsid w:val="00733127"/>
    <w:rsid w:val="00737B93"/>
    <w:rsid w:val="00745BF0"/>
    <w:rsid w:val="00751EA3"/>
    <w:rsid w:val="007615FE"/>
    <w:rsid w:val="00764BAF"/>
    <w:rsid w:val="0076655C"/>
    <w:rsid w:val="007742DC"/>
    <w:rsid w:val="00784A28"/>
    <w:rsid w:val="00791437"/>
    <w:rsid w:val="007967CA"/>
    <w:rsid w:val="007B0C2C"/>
    <w:rsid w:val="007B278E"/>
    <w:rsid w:val="007B5CA2"/>
    <w:rsid w:val="007C1F3D"/>
    <w:rsid w:val="007C5C23"/>
    <w:rsid w:val="007E2A26"/>
    <w:rsid w:val="007F2348"/>
    <w:rsid w:val="007F4757"/>
    <w:rsid w:val="007F5C86"/>
    <w:rsid w:val="007F7BC4"/>
    <w:rsid w:val="00803F07"/>
    <w:rsid w:val="0080749A"/>
    <w:rsid w:val="00821FB8"/>
    <w:rsid w:val="00822ACD"/>
    <w:rsid w:val="00855C66"/>
    <w:rsid w:val="00871EE4"/>
    <w:rsid w:val="008810FA"/>
    <w:rsid w:val="00884BA6"/>
    <w:rsid w:val="008914F0"/>
    <w:rsid w:val="008954DF"/>
    <w:rsid w:val="008A34D3"/>
    <w:rsid w:val="008B293F"/>
    <w:rsid w:val="008B7371"/>
    <w:rsid w:val="008C3026"/>
    <w:rsid w:val="008D2347"/>
    <w:rsid w:val="008D3DDB"/>
    <w:rsid w:val="008F1BB4"/>
    <w:rsid w:val="008F3B04"/>
    <w:rsid w:val="008F573F"/>
    <w:rsid w:val="009034EC"/>
    <w:rsid w:val="0093067A"/>
    <w:rsid w:val="00941C60"/>
    <w:rsid w:val="00941FD1"/>
    <w:rsid w:val="0094443D"/>
    <w:rsid w:val="0096297B"/>
    <w:rsid w:val="00966D42"/>
    <w:rsid w:val="00971689"/>
    <w:rsid w:val="0097170F"/>
    <w:rsid w:val="00973E90"/>
    <w:rsid w:val="00975B07"/>
    <w:rsid w:val="00980B4A"/>
    <w:rsid w:val="0099164D"/>
    <w:rsid w:val="009B3E8A"/>
    <w:rsid w:val="009D3627"/>
    <w:rsid w:val="009D7080"/>
    <w:rsid w:val="009E3D0A"/>
    <w:rsid w:val="009E51FC"/>
    <w:rsid w:val="009E646F"/>
    <w:rsid w:val="009E68E0"/>
    <w:rsid w:val="009F1D28"/>
    <w:rsid w:val="009F6BC0"/>
    <w:rsid w:val="009F7618"/>
    <w:rsid w:val="00A04D23"/>
    <w:rsid w:val="00A06766"/>
    <w:rsid w:val="00A13765"/>
    <w:rsid w:val="00A21B12"/>
    <w:rsid w:val="00A23F80"/>
    <w:rsid w:val="00A25BEE"/>
    <w:rsid w:val="00A46E98"/>
    <w:rsid w:val="00A6352B"/>
    <w:rsid w:val="00A67DC2"/>
    <w:rsid w:val="00A701B5"/>
    <w:rsid w:val="00A714BB"/>
    <w:rsid w:val="00A77147"/>
    <w:rsid w:val="00A824F2"/>
    <w:rsid w:val="00A8655A"/>
    <w:rsid w:val="00A92D8F"/>
    <w:rsid w:val="00AB2988"/>
    <w:rsid w:val="00AB2A81"/>
    <w:rsid w:val="00AB3F66"/>
    <w:rsid w:val="00AB7999"/>
    <w:rsid w:val="00AD3292"/>
    <w:rsid w:val="00AE1684"/>
    <w:rsid w:val="00AE262E"/>
    <w:rsid w:val="00AE7AF0"/>
    <w:rsid w:val="00AF4A4C"/>
    <w:rsid w:val="00B13A1E"/>
    <w:rsid w:val="00B20525"/>
    <w:rsid w:val="00B35BD0"/>
    <w:rsid w:val="00B500CA"/>
    <w:rsid w:val="00B6369C"/>
    <w:rsid w:val="00B83DEA"/>
    <w:rsid w:val="00B86314"/>
    <w:rsid w:val="00B93FFA"/>
    <w:rsid w:val="00BA1C2E"/>
    <w:rsid w:val="00BC200B"/>
    <w:rsid w:val="00BC4756"/>
    <w:rsid w:val="00BC69A4"/>
    <w:rsid w:val="00BD1F7A"/>
    <w:rsid w:val="00BE0680"/>
    <w:rsid w:val="00BE305F"/>
    <w:rsid w:val="00BE7BA3"/>
    <w:rsid w:val="00BF2B37"/>
    <w:rsid w:val="00BF5682"/>
    <w:rsid w:val="00BF7B09"/>
    <w:rsid w:val="00C00E03"/>
    <w:rsid w:val="00C05260"/>
    <w:rsid w:val="00C059B9"/>
    <w:rsid w:val="00C076B9"/>
    <w:rsid w:val="00C13356"/>
    <w:rsid w:val="00C20A95"/>
    <w:rsid w:val="00C2692F"/>
    <w:rsid w:val="00C3207C"/>
    <w:rsid w:val="00C36619"/>
    <w:rsid w:val="00C400E1"/>
    <w:rsid w:val="00C41187"/>
    <w:rsid w:val="00C55247"/>
    <w:rsid w:val="00C56120"/>
    <w:rsid w:val="00C63C31"/>
    <w:rsid w:val="00C757A0"/>
    <w:rsid w:val="00C760DE"/>
    <w:rsid w:val="00C77944"/>
    <w:rsid w:val="00C82630"/>
    <w:rsid w:val="00C85B4E"/>
    <w:rsid w:val="00C87578"/>
    <w:rsid w:val="00C907F7"/>
    <w:rsid w:val="00CA2103"/>
    <w:rsid w:val="00CB21E8"/>
    <w:rsid w:val="00CB6B99"/>
    <w:rsid w:val="00CB7A4F"/>
    <w:rsid w:val="00CE4C87"/>
    <w:rsid w:val="00CE544A"/>
    <w:rsid w:val="00D01361"/>
    <w:rsid w:val="00D11E1C"/>
    <w:rsid w:val="00D1328A"/>
    <w:rsid w:val="00D160B0"/>
    <w:rsid w:val="00D17F94"/>
    <w:rsid w:val="00D223FC"/>
    <w:rsid w:val="00D24CDB"/>
    <w:rsid w:val="00D26D1E"/>
    <w:rsid w:val="00D33FBF"/>
    <w:rsid w:val="00D474CF"/>
    <w:rsid w:val="00D5547E"/>
    <w:rsid w:val="00D566E2"/>
    <w:rsid w:val="00D8270A"/>
    <w:rsid w:val="00D860E2"/>
    <w:rsid w:val="00D869A1"/>
    <w:rsid w:val="00DA0248"/>
    <w:rsid w:val="00DA413F"/>
    <w:rsid w:val="00DA4584"/>
    <w:rsid w:val="00DA47BC"/>
    <w:rsid w:val="00DA614B"/>
    <w:rsid w:val="00DB5BCA"/>
    <w:rsid w:val="00DB7AD7"/>
    <w:rsid w:val="00DC070B"/>
    <w:rsid w:val="00DC3060"/>
    <w:rsid w:val="00DE0FB2"/>
    <w:rsid w:val="00DF093E"/>
    <w:rsid w:val="00DF5D4E"/>
    <w:rsid w:val="00E01F42"/>
    <w:rsid w:val="00E02AC8"/>
    <w:rsid w:val="00E05CAA"/>
    <w:rsid w:val="00E206D6"/>
    <w:rsid w:val="00E3366E"/>
    <w:rsid w:val="00E46E4C"/>
    <w:rsid w:val="00E508A1"/>
    <w:rsid w:val="00E52086"/>
    <w:rsid w:val="00E543A6"/>
    <w:rsid w:val="00E551C4"/>
    <w:rsid w:val="00E60479"/>
    <w:rsid w:val="00E61D73"/>
    <w:rsid w:val="00E73684"/>
    <w:rsid w:val="00E7546D"/>
    <w:rsid w:val="00E818D6"/>
    <w:rsid w:val="00E87F7A"/>
    <w:rsid w:val="00E94B3E"/>
    <w:rsid w:val="00E96BD7"/>
    <w:rsid w:val="00EA0DB1"/>
    <w:rsid w:val="00EA0EE9"/>
    <w:rsid w:val="00EA6996"/>
    <w:rsid w:val="00EC51AB"/>
    <w:rsid w:val="00ED52CA"/>
    <w:rsid w:val="00ED5860"/>
    <w:rsid w:val="00EE149B"/>
    <w:rsid w:val="00EE35C9"/>
    <w:rsid w:val="00EE5499"/>
    <w:rsid w:val="00EE6D08"/>
    <w:rsid w:val="00EF2A40"/>
    <w:rsid w:val="00F03F3C"/>
    <w:rsid w:val="00F05ECA"/>
    <w:rsid w:val="00F122B1"/>
    <w:rsid w:val="00F26E21"/>
    <w:rsid w:val="00F337DB"/>
    <w:rsid w:val="00F3566E"/>
    <w:rsid w:val="00F375FB"/>
    <w:rsid w:val="00F41AC1"/>
    <w:rsid w:val="00F4367A"/>
    <w:rsid w:val="00F445B1"/>
    <w:rsid w:val="00F45CD4"/>
    <w:rsid w:val="00F53733"/>
    <w:rsid w:val="00F66DCA"/>
    <w:rsid w:val="00F71F4A"/>
    <w:rsid w:val="00F74F53"/>
    <w:rsid w:val="00F7606D"/>
    <w:rsid w:val="00F81670"/>
    <w:rsid w:val="00F82024"/>
    <w:rsid w:val="00F8465D"/>
    <w:rsid w:val="00F848F6"/>
    <w:rsid w:val="00F865A3"/>
    <w:rsid w:val="00F906D3"/>
    <w:rsid w:val="00F95BC9"/>
    <w:rsid w:val="00F96B7E"/>
    <w:rsid w:val="00FA624C"/>
    <w:rsid w:val="00FB3B71"/>
    <w:rsid w:val="00FC322A"/>
    <w:rsid w:val="00FD0FAC"/>
    <w:rsid w:val="00FD1DFA"/>
    <w:rsid w:val="00FD4966"/>
    <w:rsid w:val="00FE57DC"/>
    <w:rsid w:val="00FF095A"/>
    <w:rsid w:val="012460D6"/>
    <w:rsid w:val="0271E115"/>
    <w:rsid w:val="02749909"/>
    <w:rsid w:val="0287E82A"/>
    <w:rsid w:val="02AB56F3"/>
    <w:rsid w:val="02C10FB8"/>
    <w:rsid w:val="02D42A92"/>
    <w:rsid w:val="0320E672"/>
    <w:rsid w:val="05046CE0"/>
    <w:rsid w:val="0569B90D"/>
    <w:rsid w:val="059D13CC"/>
    <w:rsid w:val="05DAD560"/>
    <w:rsid w:val="06FE1359"/>
    <w:rsid w:val="0710BB9B"/>
    <w:rsid w:val="0755A2A9"/>
    <w:rsid w:val="0759A4BE"/>
    <w:rsid w:val="07EFB050"/>
    <w:rsid w:val="08612AF7"/>
    <w:rsid w:val="086B0F04"/>
    <w:rsid w:val="08A8E222"/>
    <w:rsid w:val="08E827FF"/>
    <w:rsid w:val="0939A38A"/>
    <w:rsid w:val="096359BB"/>
    <w:rsid w:val="09EA6934"/>
    <w:rsid w:val="0A996ACD"/>
    <w:rsid w:val="0AFF6EB2"/>
    <w:rsid w:val="0BABCC18"/>
    <w:rsid w:val="0BC4DFF5"/>
    <w:rsid w:val="0C29C24B"/>
    <w:rsid w:val="0C9B31B2"/>
    <w:rsid w:val="0D9B35C6"/>
    <w:rsid w:val="0F044171"/>
    <w:rsid w:val="1012EA69"/>
    <w:rsid w:val="10D6FE06"/>
    <w:rsid w:val="1106581B"/>
    <w:rsid w:val="114C5F09"/>
    <w:rsid w:val="1200FACE"/>
    <w:rsid w:val="12266D63"/>
    <w:rsid w:val="12E744BB"/>
    <w:rsid w:val="13748F44"/>
    <w:rsid w:val="1393A8AE"/>
    <w:rsid w:val="13A87C70"/>
    <w:rsid w:val="13D64D59"/>
    <w:rsid w:val="15222003"/>
    <w:rsid w:val="17513DD5"/>
    <w:rsid w:val="17BCB820"/>
    <w:rsid w:val="17BFDC53"/>
    <w:rsid w:val="1863BCBF"/>
    <w:rsid w:val="18A47893"/>
    <w:rsid w:val="18B82A77"/>
    <w:rsid w:val="1A8571CF"/>
    <w:rsid w:val="1C0AC2D1"/>
    <w:rsid w:val="1D080B8E"/>
    <w:rsid w:val="1D2FA919"/>
    <w:rsid w:val="1D79CE75"/>
    <w:rsid w:val="1F55FDB9"/>
    <w:rsid w:val="2187760D"/>
    <w:rsid w:val="229BB4EA"/>
    <w:rsid w:val="23FA840C"/>
    <w:rsid w:val="256EB1BA"/>
    <w:rsid w:val="25B58F33"/>
    <w:rsid w:val="261F8095"/>
    <w:rsid w:val="26FC8A88"/>
    <w:rsid w:val="275AEDEE"/>
    <w:rsid w:val="29C7E56F"/>
    <w:rsid w:val="29C91C3A"/>
    <w:rsid w:val="2A6BA745"/>
    <w:rsid w:val="2AEC35A9"/>
    <w:rsid w:val="2B0B0D5A"/>
    <w:rsid w:val="2B7BAFE9"/>
    <w:rsid w:val="2BB29E7E"/>
    <w:rsid w:val="2C0F9C71"/>
    <w:rsid w:val="2D14CE75"/>
    <w:rsid w:val="2D3D1D28"/>
    <w:rsid w:val="2DF30763"/>
    <w:rsid w:val="2E6D5454"/>
    <w:rsid w:val="2E8FB0BC"/>
    <w:rsid w:val="2F2A85A0"/>
    <w:rsid w:val="2F97916A"/>
    <w:rsid w:val="32B4897A"/>
    <w:rsid w:val="33B7281E"/>
    <w:rsid w:val="33DD4661"/>
    <w:rsid w:val="33FF7DAA"/>
    <w:rsid w:val="34640FC6"/>
    <w:rsid w:val="361E7983"/>
    <w:rsid w:val="36EC0A8B"/>
    <w:rsid w:val="3732A411"/>
    <w:rsid w:val="37A744C0"/>
    <w:rsid w:val="37FFB4D7"/>
    <w:rsid w:val="3921AC95"/>
    <w:rsid w:val="395C47E3"/>
    <w:rsid w:val="397B3F40"/>
    <w:rsid w:val="39A05735"/>
    <w:rsid w:val="3AB3AEA7"/>
    <w:rsid w:val="3BCB2350"/>
    <w:rsid w:val="3CC14F5D"/>
    <w:rsid w:val="3D3B0069"/>
    <w:rsid w:val="3D9882EA"/>
    <w:rsid w:val="3DF14DDC"/>
    <w:rsid w:val="3EBA0DA8"/>
    <w:rsid w:val="3EF71E4E"/>
    <w:rsid w:val="3F74E53E"/>
    <w:rsid w:val="40063A47"/>
    <w:rsid w:val="40774643"/>
    <w:rsid w:val="40FF9ED2"/>
    <w:rsid w:val="41571A7F"/>
    <w:rsid w:val="42DDDBA8"/>
    <w:rsid w:val="445FF9BC"/>
    <w:rsid w:val="45BBD153"/>
    <w:rsid w:val="47F273E0"/>
    <w:rsid w:val="48AA5CBD"/>
    <w:rsid w:val="4963732D"/>
    <w:rsid w:val="4B5E5545"/>
    <w:rsid w:val="4B84F9CA"/>
    <w:rsid w:val="4C2D167E"/>
    <w:rsid w:val="4C36344A"/>
    <w:rsid w:val="4D97D881"/>
    <w:rsid w:val="4E780D21"/>
    <w:rsid w:val="4F43C41E"/>
    <w:rsid w:val="4F706CD4"/>
    <w:rsid w:val="4F966FB6"/>
    <w:rsid w:val="50563BD6"/>
    <w:rsid w:val="51E8D383"/>
    <w:rsid w:val="52267E43"/>
    <w:rsid w:val="5353493B"/>
    <w:rsid w:val="53C3FDC6"/>
    <w:rsid w:val="542C167B"/>
    <w:rsid w:val="5444A49D"/>
    <w:rsid w:val="5545C0B4"/>
    <w:rsid w:val="5602BFF8"/>
    <w:rsid w:val="561E3DD4"/>
    <w:rsid w:val="564CABBD"/>
    <w:rsid w:val="56D387D0"/>
    <w:rsid w:val="5723177A"/>
    <w:rsid w:val="5808269C"/>
    <w:rsid w:val="580D0979"/>
    <w:rsid w:val="5832B0E0"/>
    <w:rsid w:val="5888E6E7"/>
    <w:rsid w:val="590B0E7F"/>
    <w:rsid w:val="5B818A7E"/>
    <w:rsid w:val="5C2B989B"/>
    <w:rsid w:val="5CBE517D"/>
    <w:rsid w:val="5D71F95F"/>
    <w:rsid w:val="5D81E474"/>
    <w:rsid w:val="5DF1A9F8"/>
    <w:rsid w:val="5E6B8486"/>
    <w:rsid w:val="5EC172B0"/>
    <w:rsid w:val="611A6C6D"/>
    <w:rsid w:val="62EB730E"/>
    <w:rsid w:val="657286C4"/>
    <w:rsid w:val="65912E93"/>
    <w:rsid w:val="66E20C23"/>
    <w:rsid w:val="6705CB2F"/>
    <w:rsid w:val="67763C94"/>
    <w:rsid w:val="68A4BF98"/>
    <w:rsid w:val="69410224"/>
    <w:rsid w:val="69C0F1C8"/>
    <w:rsid w:val="6A38635F"/>
    <w:rsid w:val="6AB83EFA"/>
    <w:rsid w:val="6BDB0AA2"/>
    <w:rsid w:val="6C68FDE1"/>
    <w:rsid w:val="6D8A7C5A"/>
    <w:rsid w:val="6E712A45"/>
    <w:rsid w:val="6EF1E5C9"/>
    <w:rsid w:val="6FD7F137"/>
    <w:rsid w:val="709410E8"/>
    <w:rsid w:val="70BB03AA"/>
    <w:rsid w:val="70CE5F5A"/>
    <w:rsid w:val="7126238E"/>
    <w:rsid w:val="719C242E"/>
    <w:rsid w:val="72E1D1C9"/>
    <w:rsid w:val="7337D733"/>
    <w:rsid w:val="7437B097"/>
    <w:rsid w:val="74DD5E36"/>
    <w:rsid w:val="758F8F8A"/>
    <w:rsid w:val="76DC391E"/>
    <w:rsid w:val="7706FE3D"/>
    <w:rsid w:val="780D135E"/>
    <w:rsid w:val="78994F32"/>
    <w:rsid w:val="78D4025B"/>
    <w:rsid w:val="78DC8C77"/>
    <w:rsid w:val="79CD41DE"/>
    <w:rsid w:val="79E4EA79"/>
    <w:rsid w:val="7A3B42E9"/>
    <w:rsid w:val="7A731415"/>
    <w:rsid w:val="7ACC6696"/>
    <w:rsid w:val="7B32D0F1"/>
    <w:rsid w:val="7B9C397E"/>
    <w:rsid w:val="7BF71614"/>
    <w:rsid w:val="7C1ADF93"/>
    <w:rsid w:val="7E2CE386"/>
    <w:rsid w:val="7ECA0CCF"/>
    <w:rsid w:val="7FE1DDD5"/>
    <w:rsid w:val="7FF5D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D9B83915-5CBB-4362-82FB-C0F3A571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ieListDocuments.aspx?CId=527&amp;MId=8132&amp;Ver=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7BD3E2B40EE4B99233DA35941ABA9" ma:contentTypeVersion="10" ma:contentTypeDescription="Create a new document." ma:contentTypeScope="" ma:versionID="38b1035aa20c7e25a6a249c2c55016cd">
  <xsd:schema xmlns:xsd="http://www.w3.org/2001/XMLSchema" xmlns:xs="http://www.w3.org/2001/XMLSchema" xmlns:p="http://schemas.microsoft.com/office/2006/metadata/properties" xmlns:ns2="fdb8f1d2-729e-4e17-b922-d1876d49c6d9" targetNamespace="http://schemas.microsoft.com/office/2006/metadata/properties" ma:root="true" ma:fieldsID="37d5e34c32c15ea9f15eeef0f498b86d" ns2:_="">
    <xsd:import namespace="fdb8f1d2-729e-4e17-b922-d1876d49c6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8f1d2-729e-4e17-b922-d1876d49c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102D5B-0633-456C-B2AE-862D26A75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8f1d2-729e-4e17-b922-d1876d49c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fdb8f1d2-729e-4e17-b922-d1876d49c6d9"/>
    <ds:schemaRef ds:uri="http://schemas.openxmlformats.org/package/2006/metadata/core-properties"/>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4.xml><?xml version="1.0" encoding="utf-8"?>
<ds:datastoreItem xmlns:ds="http://schemas.openxmlformats.org/officeDocument/2006/customXml" ds:itemID="{F867CC2E-EC74-4FED-BADF-DBB7A79ED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1091</Words>
  <Characters>5878</Characters>
  <Application>Microsoft Office Word</Application>
  <DocSecurity>0</DocSecurity>
  <Lines>48</Lines>
  <Paragraphs>13</Paragraphs>
  <ScaleCrop>false</ScaleCrop>
  <Company>Oxford City Council</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REYESLAO Celeste</cp:lastModifiedBy>
  <cp:revision>6</cp:revision>
  <cp:lastPrinted>2015-07-03T05:50:00Z</cp:lastPrinted>
  <dcterms:created xsi:type="dcterms:W3CDTF">2025-12-08T13:14:00Z</dcterms:created>
  <dcterms:modified xsi:type="dcterms:W3CDTF">2025-12-08T13:33:00Z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0x01010045D7BD3E2B40EE4B99233DA35941ABA9</vt:lpwstr>
  </property>
</Properties>
</file>